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FD" w:rsidRPr="00BC1F9D" w:rsidRDefault="00AE0D59" w:rsidP="00AE0D59">
      <w:pPr>
        <w:pStyle w:val="berschrift1"/>
        <w:numPr>
          <w:ilvl w:val="0"/>
          <w:numId w:val="9"/>
        </w:numPr>
        <w:pBdr>
          <w:bottom w:val="single" w:sz="4" w:space="1" w:color="auto"/>
        </w:pBdr>
        <w:spacing w:after="120"/>
        <w:ind w:left="0" w:firstLine="0"/>
        <w:rPr>
          <w:rFonts w:cstheme="majorHAnsi"/>
          <w:b/>
          <w:color w:val="auto"/>
          <w:sz w:val="28"/>
          <w:szCs w:val="28"/>
        </w:rPr>
      </w:pPr>
      <w:r w:rsidRPr="00AE0D59">
        <w:rPr>
          <w:rFonts w:cstheme="majorHAnsi"/>
          <w:b/>
          <w:color w:val="auto"/>
          <w:sz w:val="28"/>
          <w:szCs w:val="28"/>
        </w:rPr>
        <w:t>Rechtlicher Grundlagen</w:t>
      </w:r>
    </w:p>
    <w:p w:rsidR="00AE0D59" w:rsidRPr="00AE0D59" w:rsidRDefault="00AE0D59" w:rsidP="00AE0D59">
      <w:pPr>
        <w:pStyle w:val="StandardWeb"/>
        <w:spacing w:before="0" w:beforeAutospacing="0" w:after="0" w:afterAutospacing="0"/>
        <w:jc w:val="both"/>
        <w:rPr>
          <w:rFonts w:asciiTheme="majorHAnsi" w:hAnsiTheme="majorHAnsi" w:cstheme="majorHAnsi"/>
        </w:rPr>
      </w:pPr>
      <w:r w:rsidRPr="00AE0D59">
        <w:rPr>
          <w:rFonts w:asciiTheme="majorHAnsi" w:hAnsiTheme="majorHAnsi" w:cstheme="majorHAnsi"/>
          <w:b/>
          <w:bCs/>
        </w:rPr>
        <w:t>§ 8 Praxissemester: Verordnung über den Zugang zum nordrhein-westfälischen Vorbereitungsdienst für Lehrämter an Schulen und Voraussetzungen bundesweiter Mobilität (Lehramtszugangsverordnung - LZV)</w:t>
      </w:r>
      <w:r w:rsidRPr="00AE0D59">
        <w:rPr>
          <w:rFonts w:asciiTheme="majorHAnsi" w:hAnsiTheme="majorHAnsi" w:cstheme="majorHAnsi"/>
        </w:rPr>
        <w:t xml:space="preserve"> </w:t>
      </w:r>
      <w:r w:rsidRPr="00AE0D59">
        <w:rPr>
          <w:rFonts w:asciiTheme="majorHAnsi" w:hAnsiTheme="majorHAnsi" w:cstheme="majorHAnsi"/>
          <w:b/>
          <w:bCs/>
        </w:rPr>
        <w:t xml:space="preserve">vom </w:t>
      </w:r>
      <w:r w:rsidRPr="00AE0D59">
        <w:rPr>
          <w:rFonts w:asciiTheme="majorHAnsi" w:hAnsiTheme="majorHAnsi" w:cstheme="majorHAnsi"/>
          <w:b/>
          <w:bCs/>
          <w:color w:val="auto"/>
        </w:rPr>
        <w:t>25. April 2016</w:t>
      </w:r>
      <w:r w:rsidRPr="00AE0D59">
        <w:rPr>
          <w:rFonts w:asciiTheme="majorHAnsi" w:hAnsiTheme="majorHAnsi" w:cstheme="majorHAnsi"/>
          <w:b/>
          <w:bCs/>
        </w:rPr>
        <w:t>:</w:t>
      </w:r>
    </w:p>
    <w:p w:rsidR="00AE0D59" w:rsidRPr="00AE0D59" w:rsidRDefault="00AE0D59" w:rsidP="00AE0D59">
      <w:pPr>
        <w:pStyle w:val="StandardWeb"/>
        <w:jc w:val="both"/>
        <w:rPr>
          <w:rFonts w:asciiTheme="majorHAnsi" w:hAnsiTheme="majorHAnsi" w:cstheme="majorHAnsi"/>
        </w:rPr>
      </w:pPr>
      <w:r w:rsidRPr="00AE0D59">
        <w:rPr>
          <w:rFonts w:asciiTheme="majorHAnsi" w:hAnsiTheme="majorHAnsi" w:cstheme="majorHAnsi"/>
        </w:rPr>
        <w:t>(1) Die Absolventinnen und Absolventen des Praxissemesters (§ 12 Absatz 3 des Lehrerausbildungsgesetzes) verfügen über die Fähigkeit,</w:t>
      </w:r>
    </w:p>
    <w:p w:rsidR="00AE0D59" w:rsidRPr="00AE0D59" w:rsidRDefault="00AE0D59" w:rsidP="00AE0D59">
      <w:pPr>
        <w:pStyle w:val="StandardWeb"/>
        <w:jc w:val="both"/>
        <w:rPr>
          <w:rFonts w:asciiTheme="majorHAnsi" w:hAnsiTheme="majorHAnsi" w:cstheme="majorHAnsi"/>
        </w:rPr>
      </w:pPr>
      <w:r w:rsidRPr="00AE0D59">
        <w:rPr>
          <w:rFonts w:asciiTheme="majorHAnsi" w:hAnsiTheme="majorHAnsi" w:cstheme="majorHAnsi"/>
        </w:rPr>
        <w:t xml:space="preserve">1. grundlegende Elemente schulischen Lehrens und Lernens auf der Basis von Fachwissenschaft, Fachdidaktik und Bildungswissenschaften zu planen, durchzuführen und zu reflektieren. </w:t>
      </w:r>
    </w:p>
    <w:p w:rsidR="00AE0D59" w:rsidRPr="00AE0D59" w:rsidRDefault="00AE0D59" w:rsidP="00AE0D59">
      <w:pPr>
        <w:pStyle w:val="StandardWeb"/>
        <w:jc w:val="both"/>
        <w:rPr>
          <w:rFonts w:asciiTheme="majorHAnsi" w:hAnsiTheme="majorHAnsi" w:cstheme="majorHAnsi"/>
        </w:rPr>
      </w:pPr>
      <w:r w:rsidRPr="00AE0D59">
        <w:rPr>
          <w:rFonts w:asciiTheme="majorHAnsi" w:hAnsiTheme="majorHAnsi" w:cstheme="majorHAnsi"/>
        </w:rPr>
        <w:t>(...)</w:t>
      </w:r>
    </w:p>
    <w:p w:rsidR="00AE0D59" w:rsidRPr="00AE0D59" w:rsidRDefault="00AE0D59" w:rsidP="00AE0D59">
      <w:pPr>
        <w:pStyle w:val="StandardWeb"/>
        <w:jc w:val="both"/>
        <w:rPr>
          <w:rFonts w:asciiTheme="majorHAnsi" w:hAnsiTheme="majorHAnsi" w:cstheme="majorHAnsi"/>
        </w:rPr>
      </w:pPr>
      <w:r w:rsidRPr="00AE0D59">
        <w:rPr>
          <w:rFonts w:asciiTheme="majorHAnsi" w:hAnsiTheme="majorHAnsi" w:cstheme="majorHAnsi"/>
        </w:rPr>
        <w:t>5. ein eigenes professionelles Selbstkonzept zu entwickeln</w:t>
      </w:r>
    </w:p>
    <w:p w:rsidR="00AE0D59" w:rsidRPr="00AE0D59" w:rsidRDefault="00AE0D59" w:rsidP="00AE0D59">
      <w:pPr>
        <w:jc w:val="both"/>
        <w:rPr>
          <w:rFonts w:asciiTheme="majorHAnsi" w:hAnsiTheme="majorHAnsi" w:cstheme="majorHAnsi"/>
          <w:b/>
        </w:rPr>
      </w:pPr>
      <w:r w:rsidRPr="00AE0D59">
        <w:rPr>
          <w:rFonts w:asciiTheme="majorHAnsi" w:hAnsiTheme="majorHAnsi" w:cstheme="majorHAnsi"/>
          <w:b/>
        </w:rPr>
        <w:t>§ 3.2  Rahmenkonzeption zur strukturellen und inhaltlichen Ausgestaltung des Praxissemesters im lehramtsbezogenen Masterstudiengang, Köln 2010:</w:t>
      </w:r>
    </w:p>
    <w:p w:rsidR="00AE0D59" w:rsidRDefault="00AE0D59" w:rsidP="00AE0D59">
      <w:pPr>
        <w:jc w:val="both"/>
        <w:rPr>
          <w:rFonts w:asciiTheme="majorHAnsi" w:hAnsiTheme="majorHAnsi" w:cstheme="majorHAnsi"/>
        </w:rPr>
      </w:pPr>
      <w:r w:rsidRPr="00AE0D59">
        <w:rPr>
          <w:rFonts w:asciiTheme="majorHAnsi" w:hAnsiTheme="majorHAnsi" w:cstheme="majorHAnsi"/>
        </w:rPr>
        <w:t xml:space="preserve">Unterrichtsberatungen: Einzelstunden werden als Grundlage für die Schärfung des Blicks auf Elemente der Unterrichtsplanung und -durchführung genutzt, um ein Bewusstsein für eigene Stärken sowie den Entwicklungsbedarf grundzulegen. Zu den durchgeführten Unterrichtsvorhaben werden beratende Rückmeldungen gegeben.  </w:t>
      </w:r>
    </w:p>
    <w:p w:rsidR="00AE0D59" w:rsidRDefault="00AE0D59" w:rsidP="00AE0D59">
      <w:pPr>
        <w:jc w:val="both"/>
        <w:rPr>
          <w:rFonts w:asciiTheme="majorHAnsi" w:hAnsiTheme="majorHAnsi" w:cstheme="majorHAnsi"/>
        </w:rPr>
      </w:pPr>
    </w:p>
    <w:p w:rsidR="00AE0D59" w:rsidRPr="00AE0D59" w:rsidRDefault="00AE0D59" w:rsidP="00AE0D59">
      <w:pPr>
        <w:pStyle w:val="berschrift1"/>
        <w:numPr>
          <w:ilvl w:val="0"/>
          <w:numId w:val="9"/>
        </w:numPr>
        <w:pBdr>
          <w:bottom w:val="single" w:sz="4" w:space="1" w:color="auto"/>
        </w:pBdr>
        <w:spacing w:after="120"/>
        <w:ind w:left="0" w:firstLine="0"/>
        <w:rPr>
          <w:rFonts w:cstheme="majorHAnsi"/>
          <w:b/>
          <w:color w:val="auto"/>
          <w:sz w:val="28"/>
          <w:szCs w:val="28"/>
        </w:rPr>
      </w:pPr>
      <w:r w:rsidRPr="00AE0D59">
        <w:rPr>
          <w:rFonts w:cstheme="majorHAnsi"/>
          <w:b/>
          <w:color w:val="auto"/>
          <w:sz w:val="28"/>
          <w:szCs w:val="28"/>
        </w:rPr>
        <w:t>Unser Selbstverständnis</w:t>
      </w:r>
    </w:p>
    <w:p w:rsidR="000B5674" w:rsidRDefault="00AE0D59" w:rsidP="000B5674">
      <w:pPr>
        <w:pStyle w:val="StandardWeb"/>
        <w:jc w:val="both"/>
        <w:rPr>
          <w:rFonts w:asciiTheme="majorHAnsi" w:hAnsiTheme="majorHAnsi" w:cstheme="majorHAnsi"/>
        </w:rPr>
      </w:pPr>
      <w:r w:rsidRPr="00AE0D59">
        <w:rPr>
          <w:rFonts w:asciiTheme="majorHAnsi" w:hAnsiTheme="majorHAnsi" w:cstheme="majorHAnsi"/>
        </w:rPr>
        <w:t xml:space="preserve">Im Rahmen des Praxissemesters nehmen die Seminarausbilderinnen und -ausbilder punktuell Einsicht in Unterricht. Im Sinne des Grundanliegens des Praxissemesters, ein eigenes professionelles Selbstkonzept zu entwickeln, liegt der Schwerpunkt der Beratungen auf einer personen- und ressourcenorientierten Begleitung und Unterstützung. Im Gespräch über den eigenen Unterricht stehen vor allem Erfolge, besondere Fähigkeiten sowie individuelle Entwicklungspotentiale im Vordergrund. Des Weiteren wird die Selbstwahrnehmungsfähigkeit der Studierenden an der Schnittstelle zwischen Selbst- und Fremdeinschätzung unterstützt. </w:t>
      </w:r>
    </w:p>
    <w:p w:rsidR="00AE0D59" w:rsidRPr="00AE0D59" w:rsidRDefault="00AE0D59" w:rsidP="000B5674">
      <w:pPr>
        <w:pStyle w:val="berschrift1"/>
        <w:numPr>
          <w:ilvl w:val="0"/>
          <w:numId w:val="9"/>
        </w:numPr>
        <w:pBdr>
          <w:bottom w:val="single" w:sz="4" w:space="1" w:color="auto"/>
        </w:pBdr>
        <w:spacing w:after="120"/>
        <w:ind w:left="0" w:firstLine="0"/>
        <w:rPr>
          <w:rFonts w:cstheme="majorHAnsi"/>
          <w:b/>
          <w:color w:val="auto"/>
          <w:sz w:val="28"/>
          <w:szCs w:val="28"/>
        </w:rPr>
      </w:pPr>
      <w:r w:rsidRPr="00AE0D59">
        <w:rPr>
          <w:rFonts w:cstheme="majorHAnsi"/>
          <w:b/>
          <w:color w:val="auto"/>
          <w:sz w:val="28"/>
          <w:szCs w:val="28"/>
        </w:rPr>
        <w:t>Beratungsschwerpunkte für die Unterrichtseinsichtnahme</w:t>
      </w:r>
    </w:p>
    <w:p w:rsidR="00AE0D59" w:rsidRPr="00AE0D59" w:rsidRDefault="00AE0D59" w:rsidP="00B52DB4">
      <w:pPr>
        <w:spacing w:after="120"/>
        <w:jc w:val="both"/>
        <w:rPr>
          <w:rFonts w:asciiTheme="majorHAnsi" w:hAnsiTheme="majorHAnsi" w:cstheme="majorHAnsi"/>
        </w:rPr>
      </w:pPr>
      <w:r w:rsidRPr="00AE0D59">
        <w:rPr>
          <w:rFonts w:asciiTheme="majorHAnsi" w:hAnsiTheme="majorHAnsi" w:cstheme="majorHAnsi"/>
        </w:rPr>
        <w:t xml:space="preserve">In Anlehnung an die inhaltlichen Vorgaben der Rahmenkonzeption zu den überfachlichen und fachlichen Begleitveranstaltungen, stehen grundlegende Kriterien guten Unterrichts im Mittelpunkt der ersten Sitzungen. Zentrale Fragestellungen sind hier laut Rahmenkonzeption (§ 3.2): </w:t>
      </w:r>
    </w:p>
    <w:p w:rsidR="00AE0D59" w:rsidRP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„Wie wende ich theoretisches Wissen um guten Unterricht auf konkrete Unterrichtssituationen an?“</w:t>
      </w:r>
    </w:p>
    <w:p w:rsidR="00AE0D59" w:rsidRP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„Wie plane ich eine Unterrichtsstunde?“</w:t>
      </w:r>
    </w:p>
    <w:p w:rsid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„Wie beziehe ich fachdidaktisches Grundlagenwissen auf ausgewählte fachspezifische Schlüsselsituationen: Einstiege, Medieneinsatz, Aufgabenstellungen, Leistungsüberprüfungssituationen u.a.m.?“</w:t>
      </w:r>
    </w:p>
    <w:p w:rsidR="00AE0D59" w:rsidRPr="00A305B0" w:rsidRDefault="00B52DB4" w:rsidP="00A305B0">
      <w:r>
        <w:br w:type="page"/>
      </w:r>
    </w:p>
    <w:p w:rsidR="00AE0D59" w:rsidRPr="00AE0D59" w:rsidRDefault="00AE0D59" w:rsidP="00B52DB4">
      <w:pPr>
        <w:spacing w:after="120"/>
        <w:jc w:val="both"/>
        <w:rPr>
          <w:rFonts w:asciiTheme="majorHAnsi" w:hAnsiTheme="majorHAnsi" w:cstheme="majorHAnsi"/>
        </w:rPr>
      </w:pPr>
      <w:r w:rsidRPr="00AE0D59">
        <w:rPr>
          <w:rFonts w:asciiTheme="majorHAnsi" w:hAnsiTheme="majorHAnsi" w:cstheme="majorHAnsi"/>
        </w:rPr>
        <w:lastRenderedPageBreak/>
        <w:t>Aus der Fülle der in der Literatur aufgeführten Kriterien guten Unterrichts haben wir hier folgende Aspekte, die sich aus unserer Erfahrung im Rahmen der Lehrerausbildung als zentrale Gelingensbedingungen herausgestellt haben, ausgewählt:</w:t>
      </w:r>
    </w:p>
    <w:p w:rsidR="00AE0D59" w:rsidRP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wertschätzende Kommunikation</w:t>
      </w:r>
    </w:p>
    <w:p w:rsidR="00AE0D59" w:rsidRP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verbindliche Steuerung</w:t>
      </w:r>
    </w:p>
    <w:p w:rsidR="00AE0D59" w:rsidRP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 xml:space="preserve">zielgerichtete Aktivierung  </w:t>
      </w:r>
    </w:p>
    <w:p w:rsidR="00AE0D59" w:rsidRDefault="00AE0D59" w:rsidP="00B52DB4">
      <w:pPr>
        <w:spacing w:before="240"/>
        <w:jc w:val="both"/>
        <w:rPr>
          <w:rFonts w:asciiTheme="majorHAnsi" w:eastAsiaTheme="majorEastAsia" w:hAnsiTheme="majorHAnsi" w:cstheme="majorHAnsi"/>
          <w:b/>
          <w:sz w:val="28"/>
          <w:szCs w:val="28"/>
        </w:rPr>
      </w:pPr>
      <w:r w:rsidRPr="00AE0D59">
        <w:rPr>
          <w:rFonts w:asciiTheme="majorHAnsi" w:hAnsiTheme="majorHAnsi" w:cstheme="majorHAnsi"/>
        </w:rPr>
        <w:t>In der ersten ganztägigen überfachlichen Einführungsveranstaltung werden diese 3 Aspekte gemeinsam mit den Studierenden inhaltlich anhand von Indikatoren konkretisiert. Bei den Unterrichtseinsichtnahmen werden diese Kriterien als Grundlage der Beratung wieder aufgegriffen. Hierzu haben wir einen entsprechenden Beobachtungsbogen entwickelt (s. Anhang).</w:t>
      </w:r>
    </w:p>
    <w:p w:rsidR="00AE0D59" w:rsidRPr="00AE0D59" w:rsidRDefault="00AE0D59" w:rsidP="00FC0054">
      <w:pPr>
        <w:pStyle w:val="berschrift1"/>
        <w:numPr>
          <w:ilvl w:val="0"/>
          <w:numId w:val="9"/>
        </w:numPr>
        <w:pBdr>
          <w:bottom w:val="single" w:sz="4" w:space="1" w:color="auto"/>
        </w:pBdr>
        <w:spacing w:after="120"/>
        <w:ind w:left="0" w:firstLine="0"/>
        <w:rPr>
          <w:rFonts w:cstheme="majorHAnsi"/>
          <w:b/>
          <w:color w:val="auto"/>
          <w:sz w:val="28"/>
          <w:szCs w:val="28"/>
        </w:rPr>
      </w:pPr>
      <w:r w:rsidRPr="00AE0D59">
        <w:rPr>
          <w:rFonts w:cstheme="majorHAnsi"/>
          <w:b/>
          <w:color w:val="auto"/>
          <w:sz w:val="28"/>
          <w:szCs w:val="28"/>
        </w:rPr>
        <w:t xml:space="preserve">Ablaufschema </w:t>
      </w:r>
    </w:p>
    <w:p w:rsidR="00AE0D59" w:rsidRPr="00AE0D59" w:rsidRDefault="00AE0D59" w:rsidP="00B52DB4">
      <w:pPr>
        <w:spacing w:after="120"/>
        <w:jc w:val="both"/>
        <w:rPr>
          <w:rFonts w:asciiTheme="majorHAnsi" w:hAnsiTheme="majorHAnsi" w:cstheme="majorHAnsi"/>
        </w:rPr>
      </w:pPr>
      <w:r w:rsidRPr="00AE0D59">
        <w:rPr>
          <w:rFonts w:asciiTheme="majorHAnsi" w:hAnsiTheme="majorHAnsi" w:cstheme="majorHAnsi"/>
        </w:rPr>
        <w:t>Zu den grundlegenden Gelingensbedingungen von Beratungen zählen aus unserer Sicht</w:t>
      </w:r>
    </w:p>
    <w:p w:rsidR="00AE0D59" w:rsidRP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eine Orientierung an klaren Kriterien (s. Punkt 3),</w:t>
      </w:r>
    </w:p>
    <w:p w:rsidR="00AE0D59" w:rsidRP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 xml:space="preserve">einer empathischen und wertschätzenden Haltung der Gesprächsleitung sowie </w:t>
      </w:r>
    </w:p>
    <w:p w:rsidR="00AE0D59" w:rsidRPr="00B52DB4" w:rsidRDefault="00AE0D59" w:rsidP="00B52DB4">
      <w:pPr>
        <w:pStyle w:val="Listenabsatz"/>
        <w:numPr>
          <w:ilvl w:val="0"/>
          <w:numId w:val="10"/>
        </w:numPr>
        <w:autoSpaceDE w:val="0"/>
        <w:autoSpaceDN w:val="0"/>
        <w:adjustRightInd w:val="0"/>
        <w:ind w:left="709"/>
        <w:rPr>
          <w:rFonts w:asciiTheme="majorHAnsi" w:hAnsiTheme="majorHAnsi" w:cstheme="majorHAnsi"/>
          <w:color w:val="000000"/>
        </w:rPr>
      </w:pPr>
      <w:r w:rsidRPr="00B52DB4">
        <w:rPr>
          <w:rFonts w:asciiTheme="majorHAnsi" w:hAnsiTheme="majorHAnsi" w:cstheme="majorHAnsi"/>
          <w:color w:val="000000"/>
        </w:rPr>
        <w:t xml:space="preserve">eine Zeit- und Ablauftransparenz  </w:t>
      </w:r>
    </w:p>
    <w:p w:rsidR="00AE0D59" w:rsidRPr="00AE0D59" w:rsidRDefault="00AE0D59" w:rsidP="00B52DB4">
      <w:pPr>
        <w:spacing w:before="240"/>
        <w:jc w:val="both"/>
        <w:rPr>
          <w:rFonts w:asciiTheme="majorHAnsi" w:hAnsiTheme="majorHAnsi" w:cstheme="majorHAnsi"/>
          <w:b/>
        </w:rPr>
      </w:pPr>
      <w:r w:rsidRPr="00AE0D59">
        <w:rPr>
          <w:rFonts w:asciiTheme="majorHAnsi" w:hAnsiTheme="majorHAnsi" w:cstheme="majorHAnsi"/>
        </w:rPr>
        <w:t xml:space="preserve">Für die Beratung sollte ein zeitlicher Rahmen von </w:t>
      </w:r>
      <w:r w:rsidRPr="00AE0D59">
        <w:rPr>
          <w:rFonts w:asciiTheme="majorHAnsi" w:hAnsiTheme="majorHAnsi" w:cstheme="majorHAnsi"/>
          <w:u w:val="single"/>
        </w:rPr>
        <w:t>ca. einer Stunde</w:t>
      </w:r>
      <w:r w:rsidRPr="00AE0D59">
        <w:rPr>
          <w:rFonts w:asciiTheme="majorHAnsi" w:hAnsiTheme="majorHAnsi" w:cstheme="majorHAnsi"/>
        </w:rPr>
        <w:t xml:space="preserve"> festgelegt werden. An dem Gespräch können neben den Seminarausbildern und Studierenden auch Ausbildungslehrkräfte und Ausbildungsbeauftragte teilnehmen. Ein hohes Maß an Transparenz ist durch die einheitliche Anwendung des nachstehenden Ablaufschemas gewährleistet:</w:t>
      </w:r>
    </w:p>
    <w:p w:rsidR="00AE0D59" w:rsidRPr="00AE0D59" w:rsidRDefault="00AE0D59" w:rsidP="00815F9C">
      <w:pPr>
        <w:jc w:val="center"/>
        <w:rPr>
          <w:rFonts w:asciiTheme="majorHAnsi" w:hAnsiTheme="majorHAnsi" w:cstheme="majorHAnsi"/>
          <w:b/>
        </w:rPr>
      </w:pPr>
    </w:p>
    <w:p w:rsidR="00AE0D59" w:rsidRDefault="00AE0D59" w:rsidP="00815F9C">
      <w:pPr>
        <w:jc w:val="center"/>
        <w:rPr>
          <w:rFonts w:asciiTheme="majorHAnsi" w:hAnsiTheme="majorHAnsi" w:cstheme="majorHAnsi"/>
        </w:rPr>
      </w:pPr>
      <w:r w:rsidRPr="00AE0D59">
        <w:rPr>
          <w:rFonts w:asciiTheme="majorHAnsi" w:hAnsiTheme="majorHAnsi" w:cstheme="majorHAnsi"/>
          <w:noProof/>
        </w:rPr>
        <w:drawing>
          <wp:inline distT="0" distB="0" distL="0" distR="0">
            <wp:extent cx="5810250" cy="3857625"/>
            <wp:effectExtent l="19050" t="38100" r="19050" b="0"/>
            <wp:docPr id="6"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4712B" w:rsidRDefault="0004712B" w:rsidP="00815F9C">
      <w:pPr>
        <w:jc w:val="center"/>
        <w:rPr>
          <w:rFonts w:asciiTheme="majorHAnsi" w:hAnsiTheme="majorHAnsi" w:cstheme="majorHAnsi"/>
        </w:rPr>
      </w:pPr>
    </w:p>
    <w:p w:rsidR="0004712B" w:rsidRDefault="0004712B" w:rsidP="00815F9C">
      <w:pPr>
        <w:jc w:val="center"/>
        <w:rPr>
          <w:rFonts w:asciiTheme="majorHAnsi" w:hAnsiTheme="majorHAnsi" w:cstheme="majorHAnsi"/>
        </w:rPr>
      </w:pPr>
    </w:p>
    <w:p w:rsidR="0004712B" w:rsidRDefault="0004712B" w:rsidP="00815F9C">
      <w:pPr>
        <w:jc w:val="center"/>
        <w:rPr>
          <w:rFonts w:asciiTheme="majorHAnsi" w:hAnsiTheme="majorHAnsi" w:cstheme="majorHAnsi"/>
        </w:rPr>
      </w:pPr>
    </w:p>
    <w:p w:rsidR="00A305B0" w:rsidRDefault="00A305B0" w:rsidP="0042049C">
      <w:pPr>
        <w:rPr>
          <w:rFonts w:asciiTheme="majorHAnsi" w:hAnsiTheme="majorHAnsi" w:cstheme="majorHAnsi"/>
          <w:b/>
          <w:sz w:val="32"/>
          <w:szCs w:val="32"/>
        </w:rPr>
        <w:sectPr w:rsidR="00A305B0" w:rsidSect="00FC05BC">
          <w:headerReference w:type="default" r:id="rId13"/>
          <w:pgSz w:w="11900" w:h="16840"/>
          <w:pgMar w:top="1830" w:right="1268" w:bottom="720" w:left="993" w:header="567" w:footer="283" w:gutter="0"/>
          <w:cols w:space="708"/>
          <w:docGrid w:linePitch="360"/>
        </w:sectPr>
      </w:pPr>
    </w:p>
    <w:p w:rsidR="00A305B0" w:rsidRDefault="00A305B0" w:rsidP="00815F9C">
      <w:pPr>
        <w:jc w:val="center"/>
        <w:rPr>
          <w:rFonts w:asciiTheme="majorHAnsi" w:hAnsiTheme="majorHAnsi" w:cstheme="majorHAnsi"/>
        </w:rPr>
      </w:pPr>
    </w:p>
    <w:p w:rsidR="00A305B0" w:rsidRDefault="00A305B0" w:rsidP="00815F9C">
      <w:pPr>
        <w:jc w:val="center"/>
        <w:rPr>
          <w:rFonts w:asciiTheme="majorHAnsi" w:hAnsiTheme="majorHAnsi" w:cstheme="majorHAnsi"/>
        </w:rPr>
      </w:pPr>
    </w:p>
    <w:p w:rsidR="00A305B0" w:rsidRPr="00A305B0" w:rsidRDefault="00A305B0" w:rsidP="00A305B0">
      <w:pPr>
        <w:ind w:left="-142"/>
        <w:rPr>
          <w:rFonts w:asciiTheme="majorHAnsi" w:hAnsiTheme="majorHAnsi" w:cstheme="majorHAnsi"/>
          <w:b/>
          <w:sz w:val="28"/>
          <w:szCs w:val="28"/>
        </w:rPr>
      </w:pPr>
      <w:r w:rsidRPr="00A305B0">
        <w:rPr>
          <w:rFonts w:asciiTheme="majorHAnsi" w:hAnsiTheme="majorHAnsi" w:cstheme="majorHAnsi"/>
          <w:b/>
          <w:sz w:val="28"/>
          <w:szCs w:val="28"/>
        </w:rPr>
        <w:t>Anhang: Beobachtungsbogen Unterrichtseinsichtnahme</w:t>
      </w:r>
    </w:p>
    <w:tbl>
      <w:tblPr>
        <w:tblStyle w:val="Tabellenraster"/>
        <w:tblpPr w:leftFromText="141" w:rightFromText="141" w:vertAnchor="page" w:horzAnchor="margin" w:tblpY="2311"/>
        <w:tblW w:w="15196" w:type="dxa"/>
        <w:tblLayout w:type="fixed"/>
        <w:tblLook w:val="04A0" w:firstRow="1" w:lastRow="0" w:firstColumn="1" w:lastColumn="0" w:noHBand="0" w:noVBand="1"/>
      </w:tblPr>
      <w:tblGrid>
        <w:gridCol w:w="567"/>
        <w:gridCol w:w="2694"/>
        <w:gridCol w:w="4677"/>
        <w:gridCol w:w="7258"/>
      </w:tblGrid>
      <w:tr w:rsidR="00A305B0" w:rsidRPr="00BC1F9D" w:rsidTr="00A305B0">
        <w:tc>
          <w:tcPr>
            <w:tcW w:w="567" w:type="dxa"/>
          </w:tcPr>
          <w:p w:rsidR="00A305B0" w:rsidRPr="00BC1F9D" w:rsidRDefault="00A305B0" w:rsidP="00A305B0">
            <w:pPr>
              <w:rPr>
                <w:rFonts w:asciiTheme="majorHAnsi" w:hAnsiTheme="majorHAnsi" w:cstheme="majorHAnsi"/>
                <w:b/>
                <w:sz w:val="32"/>
                <w:szCs w:val="32"/>
              </w:rPr>
            </w:pPr>
            <w:r w:rsidRPr="00BC1F9D">
              <w:rPr>
                <w:rFonts w:asciiTheme="majorHAnsi" w:hAnsiTheme="majorHAnsi" w:cstheme="majorHAnsi"/>
                <w:b/>
                <w:sz w:val="32"/>
                <w:szCs w:val="32"/>
              </w:rPr>
              <w:t>1.</w:t>
            </w:r>
          </w:p>
        </w:tc>
        <w:tc>
          <w:tcPr>
            <w:tcW w:w="2694" w:type="dxa"/>
          </w:tcPr>
          <w:p w:rsidR="00A305B0" w:rsidRPr="00BC1F9D" w:rsidRDefault="00A305B0" w:rsidP="00A305B0">
            <w:pPr>
              <w:rPr>
                <w:rFonts w:asciiTheme="majorHAnsi" w:hAnsiTheme="majorHAnsi" w:cstheme="majorHAnsi"/>
                <w:b/>
              </w:rPr>
            </w:pPr>
            <w:r w:rsidRPr="00BC1F9D">
              <w:rPr>
                <w:rFonts w:asciiTheme="majorHAnsi" w:hAnsiTheme="majorHAnsi" w:cstheme="majorHAnsi"/>
                <w:b/>
              </w:rPr>
              <w:t>WERTSCHÄTZENDE</w:t>
            </w:r>
          </w:p>
          <w:p w:rsidR="00A305B0" w:rsidRPr="00BC1F9D" w:rsidRDefault="00A305B0" w:rsidP="00A305B0">
            <w:pPr>
              <w:rPr>
                <w:rFonts w:asciiTheme="majorHAnsi" w:hAnsiTheme="majorHAnsi" w:cstheme="majorHAnsi"/>
                <w:b/>
              </w:rPr>
            </w:pPr>
            <w:r w:rsidRPr="00BC1F9D">
              <w:rPr>
                <w:rFonts w:asciiTheme="majorHAnsi" w:hAnsiTheme="majorHAnsi" w:cstheme="majorHAnsi"/>
                <w:b/>
              </w:rPr>
              <w:t>KOMMUNIKATION</w:t>
            </w:r>
          </w:p>
          <w:p w:rsidR="00A305B0" w:rsidRPr="00BC1F9D" w:rsidRDefault="00A305B0" w:rsidP="00A305B0">
            <w:pPr>
              <w:rPr>
                <w:rFonts w:asciiTheme="majorHAnsi" w:hAnsiTheme="majorHAnsi" w:cstheme="majorHAnsi"/>
                <w:sz w:val="32"/>
                <w:szCs w:val="32"/>
              </w:rPr>
            </w:pPr>
          </w:p>
        </w:tc>
        <w:tc>
          <w:tcPr>
            <w:tcW w:w="4677" w:type="dxa"/>
          </w:tcPr>
          <w:p w:rsidR="00A305B0" w:rsidRPr="00BC1F9D" w:rsidRDefault="00A305B0" w:rsidP="00A305B0">
            <w:pPr>
              <w:pStyle w:val="Listenabsatz"/>
              <w:widowControl w:val="0"/>
              <w:tabs>
                <w:tab w:val="left" w:pos="220"/>
                <w:tab w:val="left" w:pos="720"/>
              </w:tabs>
              <w:autoSpaceDE w:val="0"/>
              <w:autoSpaceDN w:val="0"/>
              <w:adjustRightInd w:val="0"/>
              <w:spacing w:after="320"/>
              <w:rPr>
                <w:rFonts w:asciiTheme="majorHAnsi" w:hAnsiTheme="majorHAnsi" w:cstheme="majorHAnsi"/>
                <w:sz w:val="22"/>
                <w:szCs w:val="22"/>
              </w:rPr>
            </w:pPr>
          </w:p>
          <w:p w:rsidR="00A305B0" w:rsidRPr="00BC1F9D" w:rsidRDefault="00A305B0" w:rsidP="00A305B0">
            <w:pPr>
              <w:pStyle w:val="Listenabsatz"/>
              <w:widowControl w:val="0"/>
              <w:numPr>
                <w:ilvl w:val="0"/>
                <w:numId w:val="3"/>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respektvolles Miteinander</w:t>
            </w:r>
          </w:p>
          <w:p w:rsidR="00A305B0" w:rsidRPr="00BC1F9D" w:rsidRDefault="00A305B0" w:rsidP="00A305B0">
            <w:pPr>
              <w:pStyle w:val="Listenabsatz"/>
              <w:widowControl w:val="0"/>
              <w:numPr>
                <w:ilvl w:val="0"/>
                <w:numId w:val="3"/>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Präsenz der Lehrperson (Gestik, Mimik, Sprache)</w:t>
            </w:r>
          </w:p>
          <w:p w:rsidR="00A305B0" w:rsidRPr="00BC1F9D" w:rsidRDefault="00A305B0" w:rsidP="00A305B0">
            <w:pPr>
              <w:pStyle w:val="Listenabsatz"/>
              <w:widowControl w:val="0"/>
              <w:numPr>
                <w:ilvl w:val="0"/>
                <w:numId w:val="3"/>
              </w:numPr>
              <w:tabs>
                <w:tab w:val="left" w:pos="220"/>
                <w:tab w:val="left" w:pos="720"/>
              </w:tabs>
              <w:autoSpaceDE w:val="0"/>
              <w:autoSpaceDN w:val="0"/>
              <w:adjustRightInd w:val="0"/>
              <w:spacing w:after="320"/>
              <w:rPr>
                <w:rFonts w:asciiTheme="majorHAnsi" w:hAnsiTheme="majorHAnsi" w:cstheme="majorHAnsi"/>
                <w:sz w:val="22"/>
                <w:szCs w:val="22"/>
              </w:rPr>
            </w:pPr>
            <w:r w:rsidRPr="00BC1F9D">
              <w:rPr>
                <w:rFonts w:asciiTheme="majorHAnsi" w:hAnsiTheme="majorHAnsi" w:cstheme="majorHAnsi"/>
                <w:sz w:val="20"/>
                <w:szCs w:val="20"/>
              </w:rPr>
              <w:t>Empathie</w:t>
            </w:r>
          </w:p>
          <w:p w:rsidR="00A305B0" w:rsidRPr="00BC1F9D" w:rsidRDefault="00A305B0" w:rsidP="00A305B0">
            <w:pPr>
              <w:pStyle w:val="Listenabsatz"/>
              <w:widowControl w:val="0"/>
              <w:numPr>
                <w:ilvl w:val="0"/>
                <w:numId w:val="3"/>
              </w:numPr>
              <w:tabs>
                <w:tab w:val="left" w:pos="220"/>
                <w:tab w:val="left" w:pos="720"/>
              </w:tabs>
              <w:autoSpaceDE w:val="0"/>
              <w:autoSpaceDN w:val="0"/>
              <w:adjustRightInd w:val="0"/>
              <w:spacing w:after="320"/>
              <w:rPr>
                <w:rFonts w:asciiTheme="majorHAnsi" w:hAnsiTheme="majorHAnsi" w:cstheme="majorHAnsi"/>
                <w:sz w:val="22"/>
                <w:szCs w:val="22"/>
              </w:rPr>
            </w:pPr>
            <w:r w:rsidRPr="00BC1F9D">
              <w:rPr>
                <w:rFonts w:asciiTheme="majorHAnsi" w:hAnsiTheme="majorHAnsi" w:cstheme="majorHAnsi"/>
                <w:sz w:val="20"/>
                <w:szCs w:val="20"/>
              </w:rPr>
              <w:t>fehlerfreundliche Lernatmosphäre</w:t>
            </w:r>
          </w:p>
          <w:p w:rsidR="00A305B0" w:rsidRPr="00BC1F9D" w:rsidRDefault="00A305B0" w:rsidP="00A305B0">
            <w:pPr>
              <w:pStyle w:val="Listenabsatz"/>
              <w:widowControl w:val="0"/>
              <w:numPr>
                <w:ilvl w:val="0"/>
                <w:numId w:val="3"/>
              </w:numPr>
              <w:tabs>
                <w:tab w:val="left" w:pos="220"/>
                <w:tab w:val="left" w:pos="720"/>
              </w:tabs>
              <w:autoSpaceDE w:val="0"/>
              <w:autoSpaceDN w:val="0"/>
              <w:adjustRightInd w:val="0"/>
              <w:spacing w:after="320"/>
              <w:rPr>
                <w:rFonts w:asciiTheme="majorHAnsi" w:hAnsiTheme="majorHAnsi" w:cstheme="majorHAnsi"/>
                <w:sz w:val="22"/>
                <w:szCs w:val="22"/>
              </w:rPr>
            </w:pPr>
            <w:r w:rsidRPr="00BC1F9D">
              <w:rPr>
                <w:rFonts w:asciiTheme="majorHAnsi" w:hAnsiTheme="majorHAnsi" w:cstheme="majorHAnsi"/>
                <w:sz w:val="20"/>
                <w:szCs w:val="20"/>
              </w:rPr>
              <w:t>Schaffen einer Gesprächskultur</w:t>
            </w:r>
          </w:p>
          <w:p w:rsidR="00A305B0" w:rsidRPr="00BC1F9D" w:rsidRDefault="00A305B0" w:rsidP="00A305B0">
            <w:pPr>
              <w:pStyle w:val="Listenabsatz"/>
              <w:widowControl w:val="0"/>
              <w:numPr>
                <w:ilvl w:val="0"/>
                <w:numId w:val="3"/>
              </w:numPr>
              <w:tabs>
                <w:tab w:val="left" w:pos="220"/>
                <w:tab w:val="left" w:pos="720"/>
              </w:tabs>
              <w:autoSpaceDE w:val="0"/>
              <w:autoSpaceDN w:val="0"/>
              <w:adjustRightInd w:val="0"/>
              <w:spacing w:after="320"/>
              <w:rPr>
                <w:rFonts w:asciiTheme="majorHAnsi" w:hAnsiTheme="majorHAnsi" w:cstheme="majorHAnsi"/>
                <w:sz w:val="22"/>
                <w:szCs w:val="22"/>
              </w:rPr>
            </w:pPr>
            <w:r w:rsidRPr="00BC1F9D">
              <w:rPr>
                <w:rFonts w:asciiTheme="majorHAnsi" w:hAnsiTheme="majorHAnsi" w:cstheme="majorHAnsi"/>
                <w:sz w:val="20"/>
                <w:szCs w:val="20"/>
              </w:rPr>
              <w:t>...</w:t>
            </w:r>
          </w:p>
        </w:tc>
        <w:tc>
          <w:tcPr>
            <w:tcW w:w="7258" w:type="dxa"/>
          </w:tcPr>
          <w:p w:rsidR="00A305B0" w:rsidRPr="00BC1F9D" w:rsidRDefault="00A305B0" w:rsidP="00A305B0">
            <w:pPr>
              <w:rPr>
                <w:rFonts w:asciiTheme="majorHAnsi" w:hAnsiTheme="majorHAnsi" w:cstheme="majorHAnsi"/>
                <w:sz w:val="32"/>
                <w:szCs w:val="32"/>
              </w:rPr>
            </w:pPr>
          </w:p>
        </w:tc>
      </w:tr>
      <w:tr w:rsidR="00A305B0" w:rsidRPr="00BC1F9D" w:rsidTr="00A305B0">
        <w:trPr>
          <w:trHeight w:val="1942"/>
        </w:trPr>
        <w:tc>
          <w:tcPr>
            <w:tcW w:w="567" w:type="dxa"/>
            <w:tcBorders>
              <w:bottom w:val="single" w:sz="4" w:space="0" w:color="auto"/>
            </w:tcBorders>
          </w:tcPr>
          <w:p w:rsidR="00A305B0" w:rsidRPr="00BC1F9D" w:rsidRDefault="00A305B0" w:rsidP="00A305B0">
            <w:pPr>
              <w:rPr>
                <w:rFonts w:asciiTheme="majorHAnsi" w:hAnsiTheme="majorHAnsi" w:cstheme="majorHAnsi"/>
                <w:b/>
                <w:sz w:val="32"/>
                <w:szCs w:val="32"/>
              </w:rPr>
            </w:pPr>
            <w:r w:rsidRPr="00BC1F9D">
              <w:rPr>
                <w:rFonts w:asciiTheme="majorHAnsi" w:hAnsiTheme="majorHAnsi" w:cstheme="majorHAnsi"/>
                <w:b/>
                <w:sz w:val="32"/>
                <w:szCs w:val="32"/>
              </w:rPr>
              <w:t xml:space="preserve">2. </w:t>
            </w:r>
          </w:p>
        </w:tc>
        <w:tc>
          <w:tcPr>
            <w:tcW w:w="2694" w:type="dxa"/>
            <w:tcBorders>
              <w:bottom w:val="single" w:sz="4" w:space="0" w:color="auto"/>
            </w:tcBorders>
          </w:tcPr>
          <w:p w:rsidR="00A305B0" w:rsidRPr="00BC1F9D" w:rsidRDefault="00A305B0" w:rsidP="00A305B0">
            <w:pPr>
              <w:rPr>
                <w:rFonts w:asciiTheme="majorHAnsi" w:hAnsiTheme="majorHAnsi" w:cstheme="majorHAnsi"/>
                <w:b/>
              </w:rPr>
            </w:pPr>
            <w:r w:rsidRPr="00BC1F9D">
              <w:rPr>
                <w:rFonts w:asciiTheme="majorHAnsi" w:hAnsiTheme="majorHAnsi" w:cstheme="majorHAnsi"/>
                <w:b/>
              </w:rPr>
              <w:t>VERBINDLICHE STEUERUNG</w:t>
            </w:r>
          </w:p>
          <w:p w:rsidR="00A305B0" w:rsidRPr="00BC1F9D" w:rsidRDefault="00A305B0" w:rsidP="00A305B0">
            <w:pPr>
              <w:rPr>
                <w:rFonts w:asciiTheme="majorHAnsi" w:hAnsiTheme="majorHAnsi" w:cstheme="majorHAnsi"/>
                <w:sz w:val="32"/>
                <w:szCs w:val="32"/>
              </w:rPr>
            </w:pPr>
          </w:p>
        </w:tc>
        <w:tc>
          <w:tcPr>
            <w:tcW w:w="4677" w:type="dxa"/>
            <w:tcBorders>
              <w:bottom w:val="single" w:sz="4" w:space="0" w:color="auto"/>
            </w:tcBorders>
          </w:tcPr>
          <w:p w:rsidR="00A305B0" w:rsidRPr="00BC1F9D" w:rsidRDefault="00A305B0" w:rsidP="00A305B0">
            <w:pPr>
              <w:pStyle w:val="Listenabsatz"/>
              <w:widowControl w:val="0"/>
              <w:tabs>
                <w:tab w:val="left" w:pos="220"/>
                <w:tab w:val="left" w:pos="720"/>
              </w:tabs>
              <w:autoSpaceDE w:val="0"/>
              <w:autoSpaceDN w:val="0"/>
              <w:adjustRightInd w:val="0"/>
              <w:spacing w:after="320"/>
              <w:rPr>
                <w:rFonts w:asciiTheme="majorHAnsi" w:hAnsiTheme="majorHAnsi" w:cstheme="majorHAnsi"/>
                <w:sz w:val="20"/>
                <w:szCs w:val="20"/>
              </w:rPr>
            </w:pPr>
          </w:p>
          <w:p w:rsidR="00A305B0" w:rsidRPr="00BC1F9D" w:rsidRDefault="00A305B0" w:rsidP="00A305B0">
            <w:pPr>
              <w:pStyle w:val="Listenabsatz"/>
              <w:widowControl w:val="0"/>
              <w:numPr>
                <w:ilvl w:val="0"/>
                <w:numId w:val="5"/>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reibungslose Organisation</w:t>
            </w:r>
          </w:p>
          <w:p w:rsidR="00A305B0" w:rsidRPr="00BC1F9D" w:rsidRDefault="00A305B0" w:rsidP="00A305B0">
            <w:pPr>
              <w:pStyle w:val="Listenabsatz"/>
              <w:widowControl w:val="0"/>
              <w:numPr>
                <w:ilvl w:val="0"/>
                <w:numId w:val="5"/>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konsequente Beachtung von Regeln und Ritualen</w:t>
            </w:r>
          </w:p>
          <w:p w:rsidR="00A305B0" w:rsidRPr="00BC1F9D" w:rsidRDefault="00A305B0" w:rsidP="00A305B0">
            <w:pPr>
              <w:pStyle w:val="Listenabsatz"/>
              <w:widowControl w:val="0"/>
              <w:numPr>
                <w:ilvl w:val="0"/>
                <w:numId w:val="5"/>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klare Arbeitsaufträge</w:t>
            </w:r>
          </w:p>
          <w:p w:rsidR="00A305B0" w:rsidRPr="00BC1F9D" w:rsidRDefault="00A305B0" w:rsidP="00A305B0">
            <w:pPr>
              <w:pStyle w:val="Listenabsatz"/>
              <w:widowControl w:val="0"/>
              <w:numPr>
                <w:ilvl w:val="0"/>
                <w:numId w:val="5"/>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 xml:space="preserve">transparente Struktur im Unterrichtsverlauf </w:t>
            </w:r>
          </w:p>
          <w:p w:rsidR="00A305B0" w:rsidRPr="00BC1F9D" w:rsidRDefault="00A305B0" w:rsidP="00A305B0">
            <w:pPr>
              <w:pStyle w:val="Listenabsatz"/>
              <w:widowControl w:val="0"/>
              <w:numPr>
                <w:ilvl w:val="0"/>
                <w:numId w:val="5"/>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lernfördernde Visualisierungshilfen</w:t>
            </w:r>
          </w:p>
          <w:p w:rsidR="00A305B0" w:rsidRPr="00BC1F9D" w:rsidRDefault="00A305B0" w:rsidP="00A305B0">
            <w:pPr>
              <w:pStyle w:val="Listenabsatz"/>
              <w:widowControl w:val="0"/>
              <w:numPr>
                <w:ilvl w:val="0"/>
                <w:numId w:val="5"/>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w:t>
            </w:r>
          </w:p>
        </w:tc>
        <w:tc>
          <w:tcPr>
            <w:tcW w:w="7258" w:type="dxa"/>
            <w:tcBorders>
              <w:bottom w:val="single" w:sz="4" w:space="0" w:color="auto"/>
            </w:tcBorders>
          </w:tcPr>
          <w:p w:rsidR="00A305B0" w:rsidRPr="00BC1F9D" w:rsidRDefault="00A305B0" w:rsidP="00A305B0">
            <w:pPr>
              <w:rPr>
                <w:rFonts w:asciiTheme="majorHAnsi" w:hAnsiTheme="majorHAnsi" w:cstheme="majorHAnsi"/>
                <w:sz w:val="32"/>
                <w:szCs w:val="32"/>
              </w:rPr>
            </w:pPr>
          </w:p>
        </w:tc>
      </w:tr>
      <w:tr w:rsidR="00A305B0" w:rsidRPr="00BC1F9D" w:rsidTr="00A305B0">
        <w:tc>
          <w:tcPr>
            <w:tcW w:w="567" w:type="dxa"/>
            <w:tcBorders>
              <w:bottom w:val="single" w:sz="4" w:space="0" w:color="auto"/>
            </w:tcBorders>
            <w:shd w:val="clear" w:color="auto" w:fill="FFFFFF"/>
          </w:tcPr>
          <w:p w:rsidR="00A305B0" w:rsidRPr="00BC1F9D" w:rsidRDefault="00A305B0" w:rsidP="00A305B0">
            <w:pPr>
              <w:rPr>
                <w:rFonts w:asciiTheme="majorHAnsi" w:hAnsiTheme="majorHAnsi" w:cstheme="majorHAnsi"/>
                <w:b/>
                <w:sz w:val="32"/>
                <w:szCs w:val="32"/>
              </w:rPr>
            </w:pPr>
            <w:r w:rsidRPr="00BC1F9D">
              <w:rPr>
                <w:rFonts w:asciiTheme="majorHAnsi" w:hAnsiTheme="majorHAnsi" w:cstheme="majorHAnsi"/>
                <w:b/>
                <w:sz w:val="32"/>
                <w:szCs w:val="32"/>
              </w:rPr>
              <w:t xml:space="preserve">3. </w:t>
            </w:r>
          </w:p>
        </w:tc>
        <w:tc>
          <w:tcPr>
            <w:tcW w:w="2694" w:type="dxa"/>
            <w:tcBorders>
              <w:bottom w:val="single" w:sz="4" w:space="0" w:color="auto"/>
            </w:tcBorders>
            <w:shd w:val="clear" w:color="auto" w:fill="FFFFFF"/>
          </w:tcPr>
          <w:p w:rsidR="00A305B0" w:rsidRPr="00BC1F9D" w:rsidRDefault="00A305B0" w:rsidP="00A305B0">
            <w:pPr>
              <w:rPr>
                <w:rFonts w:asciiTheme="majorHAnsi" w:hAnsiTheme="majorHAnsi" w:cstheme="majorHAnsi"/>
                <w:b/>
              </w:rPr>
            </w:pPr>
            <w:r w:rsidRPr="00BC1F9D">
              <w:rPr>
                <w:rFonts w:asciiTheme="majorHAnsi" w:hAnsiTheme="majorHAnsi" w:cstheme="majorHAnsi"/>
                <w:b/>
              </w:rPr>
              <w:t>ZIELGERICHTETE AKTIVIERUNG</w:t>
            </w:r>
          </w:p>
          <w:p w:rsidR="00A305B0" w:rsidRPr="00BC1F9D" w:rsidRDefault="00A305B0" w:rsidP="00A305B0">
            <w:pPr>
              <w:jc w:val="center"/>
              <w:rPr>
                <w:rFonts w:asciiTheme="majorHAnsi" w:hAnsiTheme="majorHAnsi" w:cstheme="majorHAnsi"/>
                <w:sz w:val="32"/>
                <w:szCs w:val="32"/>
              </w:rPr>
            </w:pPr>
          </w:p>
        </w:tc>
        <w:tc>
          <w:tcPr>
            <w:tcW w:w="4677" w:type="dxa"/>
            <w:tcBorders>
              <w:bottom w:val="single" w:sz="4" w:space="0" w:color="auto"/>
            </w:tcBorders>
            <w:shd w:val="clear" w:color="auto" w:fill="FFFFFF"/>
          </w:tcPr>
          <w:p w:rsidR="00A305B0" w:rsidRPr="00BC1F9D" w:rsidRDefault="00A305B0" w:rsidP="00A305B0">
            <w:pPr>
              <w:pStyle w:val="Listenabsatz"/>
              <w:widowControl w:val="0"/>
              <w:tabs>
                <w:tab w:val="left" w:pos="220"/>
                <w:tab w:val="left" w:pos="720"/>
              </w:tabs>
              <w:autoSpaceDE w:val="0"/>
              <w:autoSpaceDN w:val="0"/>
              <w:adjustRightInd w:val="0"/>
              <w:spacing w:after="320"/>
              <w:rPr>
                <w:rFonts w:asciiTheme="majorHAnsi" w:hAnsiTheme="majorHAnsi" w:cstheme="majorHAnsi"/>
                <w:sz w:val="20"/>
                <w:szCs w:val="20"/>
              </w:rPr>
            </w:pPr>
          </w:p>
          <w:p w:rsidR="00A305B0" w:rsidRPr="00BC1F9D" w:rsidRDefault="00A305B0" w:rsidP="00A305B0">
            <w:pPr>
              <w:pStyle w:val="Listenabsatz"/>
              <w:widowControl w:val="0"/>
              <w:numPr>
                <w:ilvl w:val="0"/>
                <w:numId w:val="4"/>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Zieltransparenz</w:t>
            </w:r>
          </w:p>
          <w:p w:rsidR="00A305B0" w:rsidRPr="00BC1F9D" w:rsidRDefault="00A305B0" w:rsidP="00A305B0">
            <w:pPr>
              <w:pStyle w:val="Listenabsatz"/>
              <w:widowControl w:val="0"/>
              <w:numPr>
                <w:ilvl w:val="0"/>
                <w:numId w:val="4"/>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zielorientierte Vernetzung der Unterrichtsphasen (roter Faden)</w:t>
            </w:r>
          </w:p>
          <w:p w:rsidR="00A305B0" w:rsidRPr="00BC1F9D" w:rsidRDefault="00A305B0" w:rsidP="00A305B0">
            <w:pPr>
              <w:pStyle w:val="Listenabsatz"/>
              <w:widowControl w:val="0"/>
              <w:numPr>
                <w:ilvl w:val="0"/>
                <w:numId w:val="4"/>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effektives Nutzen der Lernzeit</w:t>
            </w:r>
          </w:p>
          <w:p w:rsidR="00A305B0" w:rsidRPr="00BC1F9D" w:rsidRDefault="00A305B0" w:rsidP="00A305B0">
            <w:pPr>
              <w:pStyle w:val="Listenabsatz"/>
              <w:widowControl w:val="0"/>
              <w:numPr>
                <w:ilvl w:val="0"/>
                <w:numId w:val="4"/>
              </w:numPr>
              <w:tabs>
                <w:tab w:val="left" w:pos="220"/>
                <w:tab w:val="left" w:pos="720"/>
              </w:tabs>
              <w:autoSpaceDE w:val="0"/>
              <w:autoSpaceDN w:val="0"/>
              <w:adjustRightInd w:val="0"/>
              <w:spacing w:after="320"/>
              <w:rPr>
                <w:rFonts w:asciiTheme="majorHAnsi" w:hAnsiTheme="majorHAnsi" w:cstheme="majorHAnsi"/>
                <w:sz w:val="20"/>
                <w:szCs w:val="20"/>
              </w:rPr>
            </w:pPr>
            <w:r w:rsidRPr="00BC1F9D">
              <w:rPr>
                <w:rFonts w:asciiTheme="majorHAnsi" w:hAnsiTheme="majorHAnsi" w:cstheme="majorHAnsi"/>
                <w:sz w:val="20"/>
                <w:szCs w:val="20"/>
              </w:rPr>
              <w:t>zielbezogene Aktivierung aller SuS</w:t>
            </w:r>
          </w:p>
          <w:p w:rsidR="00A305B0" w:rsidRPr="00BC1F9D" w:rsidRDefault="00A305B0" w:rsidP="00A305B0">
            <w:pPr>
              <w:pStyle w:val="Listenabsatz"/>
              <w:widowControl w:val="0"/>
              <w:numPr>
                <w:ilvl w:val="0"/>
                <w:numId w:val="4"/>
              </w:numPr>
              <w:tabs>
                <w:tab w:val="left" w:pos="220"/>
                <w:tab w:val="left" w:pos="720"/>
              </w:tabs>
              <w:autoSpaceDE w:val="0"/>
              <w:autoSpaceDN w:val="0"/>
              <w:adjustRightInd w:val="0"/>
              <w:spacing w:after="320"/>
              <w:rPr>
                <w:rFonts w:asciiTheme="majorHAnsi" w:hAnsiTheme="majorHAnsi" w:cstheme="majorHAnsi"/>
                <w:sz w:val="22"/>
                <w:szCs w:val="22"/>
              </w:rPr>
            </w:pPr>
            <w:r w:rsidRPr="00BC1F9D">
              <w:rPr>
                <w:rFonts w:asciiTheme="majorHAnsi" w:hAnsiTheme="majorHAnsi" w:cstheme="majorHAnsi"/>
                <w:sz w:val="20"/>
                <w:szCs w:val="20"/>
              </w:rPr>
              <w:t>herausfordernde und motivierende Aufgaben</w:t>
            </w:r>
          </w:p>
          <w:p w:rsidR="00A305B0" w:rsidRPr="00BC1F9D" w:rsidRDefault="00A305B0" w:rsidP="00A305B0">
            <w:pPr>
              <w:pStyle w:val="Listenabsatz"/>
              <w:widowControl w:val="0"/>
              <w:numPr>
                <w:ilvl w:val="0"/>
                <w:numId w:val="4"/>
              </w:numPr>
              <w:tabs>
                <w:tab w:val="left" w:pos="220"/>
                <w:tab w:val="left" w:pos="720"/>
              </w:tabs>
              <w:autoSpaceDE w:val="0"/>
              <w:autoSpaceDN w:val="0"/>
              <w:adjustRightInd w:val="0"/>
              <w:spacing w:after="320"/>
              <w:rPr>
                <w:rFonts w:asciiTheme="majorHAnsi" w:hAnsiTheme="majorHAnsi" w:cstheme="majorHAnsi"/>
                <w:sz w:val="22"/>
                <w:szCs w:val="22"/>
              </w:rPr>
            </w:pPr>
            <w:r w:rsidRPr="00BC1F9D">
              <w:rPr>
                <w:rFonts w:asciiTheme="majorHAnsi" w:hAnsiTheme="majorHAnsi" w:cstheme="majorHAnsi"/>
                <w:sz w:val="20"/>
                <w:szCs w:val="20"/>
              </w:rPr>
              <w:t>...</w:t>
            </w:r>
          </w:p>
        </w:tc>
        <w:tc>
          <w:tcPr>
            <w:tcW w:w="7258" w:type="dxa"/>
            <w:tcBorders>
              <w:bottom w:val="single" w:sz="4" w:space="0" w:color="auto"/>
            </w:tcBorders>
            <w:shd w:val="clear" w:color="auto" w:fill="FFFFFF"/>
          </w:tcPr>
          <w:p w:rsidR="00A305B0" w:rsidRPr="00BC1F9D" w:rsidRDefault="00A305B0" w:rsidP="00A305B0">
            <w:pPr>
              <w:rPr>
                <w:rFonts w:asciiTheme="majorHAnsi" w:hAnsiTheme="majorHAnsi" w:cstheme="majorHAnsi"/>
                <w:sz w:val="32"/>
                <w:szCs w:val="32"/>
              </w:rPr>
            </w:pPr>
          </w:p>
        </w:tc>
      </w:tr>
      <w:tr w:rsidR="00A305B0" w:rsidRPr="00BC1F9D" w:rsidTr="003833D1">
        <w:trPr>
          <w:trHeight w:val="1346"/>
        </w:trPr>
        <w:tc>
          <w:tcPr>
            <w:tcW w:w="567" w:type="dxa"/>
            <w:tcBorders>
              <w:bottom w:val="single" w:sz="4" w:space="0" w:color="auto"/>
            </w:tcBorders>
            <w:shd w:val="clear" w:color="auto" w:fill="FFFFFF"/>
          </w:tcPr>
          <w:p w:rsidR="00A305B0" w:rsidRPr="00BC1F9D" w:rsidRDefault="00A305B0" w:rsidP="00A305B0">
            <w:pPr>
              <w:rPr>
                <w:rFonts w:asciiTheme="majorHAnsi" w:hAnsiTheme="majorHAnsi" w:cstheme="majorHAnsi"/>
                <w:b/>
                <w:sz w:val="32"/>
                <w:szCs w:val="32"/>
              </w:rPr>
            </w:pPr>
            <w:r w:rsidRPr="00BC1F9D">
              <w:rPr>
                <w:rFonts w:asciiTheme="majorHAnsi" w:hAnsiTheme="majorHAnsi" w:cstheme="majorHAnsi"/>
                <w:b/>
                <w:sz w:val="32"/>
                <w:szCs w:val="32"/>
              </w:rPr>
              <w:t>4.</w:t>
            </w:r>
          </w:p>
          <w:p w:rsidR="00A305B0" w:rsidRPr="00BC1F9D" w:rsidRDefault="00A305B0" w:rsidP="00A305B0">
            <w:pPr>
              <w:rPr>
                <w:rFonts w:asciiTheme="majorHAnsi" w:hAnsiTheme="majorHAnsi" w:cstheme="majorHAnsi"/>
                <w:b/>
                <w:sz w:val="32"/>
                <w:szCs w:val="32"/>
              </w:rPr>
            </w:pPr>
          </w:p>
        </w:tc>
        <w:tc>
          <w:tcPr>
            <w:tcW w:w="2694" w:type="dxa"/>
            <w:tcBorders>
              <w:bottom w:val="single" w:sz="4" w:space="0" w:color="auto"/>
            </w:tcBorders>
            <w:shd w:val="clear" w:color="auto" w:fill="FFFFFF"/>
          </w:tcPr>
          <w:p w:rsidR="00A305B0" w:rsidRPr="00A305B0" w:rsidRDefault="00A305B0" w:rsidP="00A305B0">
            <w:pPr>
              <w:rPr>
                <w:rFonts w:asciiTheme="majorHAnsi" w:hAnsiTheme="majorHAnsi" w:cstheme="majorHAnsi"/>
                <w:b/>
              </w:rPr>
            </w:pPr>
            <w:r w:rsidRPr="00BC1F9D">
              <w:rPr>
                <w:rFonts w:asciiTheme="majorHAnsi" w:hAnsiTheme="majorHAnsi" w:cstheme="majorHAnsi"/>
                <w:b/>
              </w:rPr>
              <w:t>WEITERE BEOBACHTUNGEN</w:t>
            </w:r>
          </w:p>
        </w:tc>
        <w:tc>
          <w:tcPr>
            <w:tcW w:w="11935" w:type="dxa"/>
            <w:gridSpan w:val="2"/>
            <w:tcBorders>
              <w:bottom w:val="single" w:sz="4" w:space="0" w:color="auto"/>
            </w:tcBorders>
            <w:shd w:val="clear" w:color="auto" w:fill="FFFFFF"/>
          </w:tcPr>
          <w:p w:rsidR="00A305B0" w:rsidRDefault="00A305B0" w:rsidP="00A305B0">
            <w:pPr>
              <w:rPr>
                <w:rFonts w:asciiTheme="majorHAnsi" w:hAnsiTheme="majorHAnsi" w:cstheme="majorHAnsi"/>
                <w:sz w:val="32"/>
                <w:szCs w:val="32"/>
              </w:rPr>
            </w:pPr>
          </w:p>
          <w:p w:rsidR="00E455DA" w:rsidRDefault="00E455DA" w:rsidP="00A305B0">
            <w:pPr>
              <w:rPr>
                <w:rFonts w:asciiTheme="majorHAnsi" w:hAnsiTheme="majorHAnsi" w:cstheme="majorHAnsi"/>
                <w:sz w:val="32"/>
                <w:szCs w:val="32"/>
              </w:rPr>
            </w:pPr>
          </w:p>
          <w:p w:rsidR="00E455DA" w:rsidRDefault="00E455DA" w:rsidP="00A305B0">
            <w:pPr>
              <w:rPr>
                <w:rFonts w:asciiTheme="majorHAnsi" w:hAnsiTheme="majorHAnsi" w:cstheme="majorHAnsi"/>
                <w:sz w:val="32"/>
                <w:szCs w:val="32"/>
              </w:rPr>
            </w:pPr>
          </w:p>
          <w:p w:rsidR="00E455DA" w:rsidRPr="00BC1F9D" w:rsidRDefault="00E455DA" w:rsidP="00A305B0">
            <w:pPr>
              <w:rPr>
                <w:rFonts w:asciiTheme="majorHAnsi" w:hAnsiTheme="majorHAnsi" w:cstheme="majorHAnsi"/>
                <w:sz w:val="32"/>
                <w:szCs w:val="32"/>
              </w:rPr>
            </w:pPr>
          </w:p>
        </w:tc>
      </w:tr>
    </w:tbl>
    <w:p w:rsidR="00A305B0" w:rsidRDefault="00A305B0" w:rsidP="007856F6">
      <w:pPr>
        <w:rPr>
          <w:rFonts w:asciiTheme="majorHAnsi" w:hAnsiTheme="majorHAnsi" w:cstheme="majorHAnsi"/>
        </w:rPr>
        <w:sectPr w:rsidR="00A305B0" w:rsidSect="00A305B0">
          <w:pgSz w:w="16840" w:h="11900" w:orient="landscape"/>
          <w:pgMar w:top="1270" w:right="720" w:bottom="992" w:left="993" w:header="567" w:footer="284" w:gutter="0"/>
          <w:cols w:space="708"/>
          <w:docGrid w:linePitch="360"/>
        </w:sectPr>
      </w:pPr>
      <w:bookmarkStart w:id="0" w:name="_GoBack"/>
      <w:bookmarkEnd w:id="0"/>
    </w:p>
    <w:p w:rsidR="0004712B" w:rsidRPr="00AE0D59" w:rsidRDefault="0004712B" w:rsidP="00E455DA">
      <w:pPr>
        <w:rPr>
          <w:rFonts w:asciiTheme="majorHAnsi" w:hAnsiTheme="majorHAnsi" w:cstheme="majorHAnsi"/>
        </w:rPr>
      </w:pPr>
    </w:p>
    <w:sectPr w:rsidR="0004712B" w:rsidRPr="00AE0D59" w:rsidSect="00FC05BC">
      <w:pgSz w:w="11900" w:h="16840"/>
      <w:pgMar w:top="1830" w:right="1268" w:bottom="720" w:left="99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8F9" w:rsidRDefault="00FF68F9" w:rsidP="00077C86">
      <w:r>
        <w:separator/>
      </w:r>
    </w:p>
  </w:endnote>
  <w:endnote w:type="continuationSeparator" w:id="0">
    <w:p w:rsidR="00FF68F9" w:rsidRDefault="00FF68F9" w:rsidP="0007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8F9" w:rsidRDefault="00FF68F9" w:rsidP="00077C86">
      <w:r>
        <w:separator/>
      </w:r>
    </w:p>
  </w:footnote>
  <w:footnote w:type="continuationSeparator" w:id="0">
    <w:p w:rsidR="00FF68F9" w:rsidRDefault="00FF68F9" w:rsidP="0007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077C86" w:rsidRPr="00077C86" w:rsidTr="00BC1F9D">
      <w:tc>
        <w:tcPr>
          <w:tcW w:w="9781" w:type="dxa"/>
          <w:shd w:val="clear" w:color="auto" w:fill="BFBFBF" w:themeFill="background1" w:themeFillShade="BF"/>
        </w:tcPr>
        <w:p w:rsidR="00077C86" w:rsidRPr="00077C86" w:rsidRDefault="00AE0D59" w:rsidP="00AE0D59">
          <w:pPr>
            <w:pStyle w:val="Kopfzeile"/>
            <w:spacing w:before="240" w:after="240"/>
            <w:ind w:left="2835"/>
            <w:rPr>
              <w:rFonts w:asciiTheme="majorHAnsi" w:hAnsiTheme="majorHAnsi" w:cstheme="majorHAnsi"/>
              <w:b/>
              <w:sz w:val="28"/>
              <w:szCs w:val="28"/>
            </w:rPr>
          </w:pPr>
          <w:r w:rsidRPr="00AE0D59">
            <w:rPr>
              <w:rFonts w:asciiTheme="majorHAnsi" w:hAnsiTheme="majorHAnsi" w:cstheme="majorHAnsi"/>
              <w:b/>
              <w:sz w:val="28"/>
              <w:szCs w:val="28"/>
            </w:rPr>
            <w:t xml:space="preserve">Beratungskonzept </w:t>
          </w:r>
          <w:r w:rsidR="00077C86">
            <w:rPr>
              <w:rFonts w:asciiTheme="majorHAnsi" w:hAnsiTheme="majorHAnsi" w:cstheme="majorHAnsi"/>
              <w:b/>
              <w:noProof/>
              <w:sz w:val="28"/>
              <w:szCs w:val="28"/>
            </w:rPr>
            <w:drawing>
              <wp:anchor distT="0" distB="0" distL="114300" distR="114300" simplePos="0" relativeHeight="251657216" behindDoc="0" locked="0" layoutInCell="1" allowOverlap="1">
                <wp:simplePos x="0" y="0"/>
                <wp:positionH relativeFrom="column">
                  <wp:posOffset>319405</wp:posOffset>
                </wp:positionH>
                <wp:positionV relativeFrom="paragraph">
                  <wp:posOffset>-11430</wp:posOffset>
                </wp:positionV>
                <wp:extent cx="1190625" cy="533400"/>
                <wp:effectExtent l="0" t="0" r="9525" b="0"/>
                <wp:wrapNone/>
                <wp:docPr id="120" name="Grafi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stretch>
                          <a:fillRect/>
                        </a:stretch>
                      </pic:blipFill>
                      <pic:spPr>
                        <a:xfrm>
                          <a:off x="0" y="0"/>
                          <a:ext cx="1190625" cy="533400"/>
                        </a:xfrm>
                        <a:prstGeom prst="rect">
                          <a:avLst/>
                        </a:prstGeom>
                      </pic:spPr>
                    </pic:pic>
                  </a:graphicData>
                </a:graphic>
              </wp:anchor>
            </w:drawing>
          </w:r>
          <w:r w:rsidR="00077C86">
            <w:rPr>
              <w:rFonts w:asciiTheme="majorHAnsi" w:hAnsiTheme="majorHAnsi" w:cstheme="majorHAnsi"/>
              <w:b/>
              <w:sz w:val="28"/>
              <w:szCs w:val="28"/>
            </w:rPr>
            <w:t xml:space="preserve"> </w:t>
          </w:r>
        </w:p>
      </w:tc>
    </w:tr>
  </w:tbl>
  <w:p w:rsidR="00077C86" w:rsidRPr="00CC0BFC" w:rsidRDefault="00077C86" w:rsidP="00BC1F9D">
    <w:pPr>
      <w:pStyle w:val="Kopfzeile"/>
      <w:tabs>
        <w:tab w:val="clear" w:pos="9072"/>
        <w:tab w:val="right" w:pos="9639"/>
      </w:tabs>
      <w:spacing w:before="240" w:after="240"/>
      <w:rPr>
        <w:rFonts w:asciiTheme="majorHAnsi" w:hAnsiTheme="majorHAnsi" w:cstheme="majorHAnsi"/>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60A1"/>
    <w:multiLevelType w:val="hybridMultilevel"/>
    <w:tmpl w:val="91BA17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D3198E"/>
    <w:multiLevelType w:val="hybridMultilevel"/>
    <w:tmpl w:val="1290A124"/>
    <w:lvl w:ilvl="0" w:tplc="FFAC3526">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1F57D83"/>
    <w:multiLevelType w:val="hybridMultilevel"/>
    <w:tmpl w:val="C8FAD3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EF16C7"/>
    <w:multiLevelType w:val="hybridMultilevel"/>
    <w:tmpl w:val="340621A8"/>
    <w:lvl w:ilvl="0" w:tplc="C100AB5A">
      <w:start w:val="20"/>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52163"/>
    <w:multiLevelType w:val="hybridMultilevel"/>
    <w:tmpl w:val="1DC42C68"/>
    <w:lvl w:ilvl="0" w:tplc="3768F6A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BB62CE"/>
    <w:multiLevelType w:val="hybridMultilevel"/>
    <w:tmpl w:val="6636B8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D24D5D"/>
    <w:multiLevelType w:val="hybridMultilevel"/>
    <w:tmpl w:val="7B12ECB8"/>
    <w:lvl w:ilvl="0" w:tplc="FFAC352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797C4C"/>
    <w:multiLevelType w:val="hybridMultilevel"/>
    <w:tmpl w:val="90C2F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C80137"/>
    <w:multiLevelType w:val="hybridMultilevel"/>
    <w:tmpl w:val="30EC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0A585F"/>
    <w:multiLevelType w:val="hybridMultilevel"/>
    <w:tmpl w:val="F6C6A5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2"/>
  </w:num>
  <w:num w:numId="6">
    <w:abstractNumId w:val="7"/>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397"/>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341AA"/>
    <w:rsid w:val="0004712B"/>
    <w:rsid w:val="00077C86"/>
    <w:rsid w:val="000B5674"/>
    <w:rsid w:val="00124271"/>
    <w:rsid w:val="002E3B31"/>
    <w:rsid w:val="003341AA"/>
    <w:rsid w:val="003833D1"/>
    <w:rsid w:val="0040316D"/>
    <w:rsid w:val="0051444F"/>
    <w:rsid w:val="00697B51"/>
    <w:rsid w:val="007856F6"/>
    <w:rsid w:val="00815F9C"/>
    <w:rsid w:val="008802C7"/>
    <w:rsid w:val="00924AA0"/>
    <w:rsid w:val="00A305B0"/>
    <w:rsid w:val="00AE0D59"/>
    <w:rsid w:val="00B165D1"/>
    <w:rsid w:val="00B52DB4"/>
    <w:rsid w:val="00BC1F9D"/>
    <w:rsid w:val="00BF6677"/>
    <w:rsid w:val="00C54FC0"/>
    <w:rsid w:val="00CC0BFC"/>
    <w:rsid w:val="00CC644B"/>
    <w:rsid w:val="00D7508A"/>
    <w:rsid w:val="00E034FD"/>
    <w:rsid w:val="00E455DA"/>
    <w:rsid w:val="00FC05BC"/>
    <w:rsid w:val="00FF6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1D157210"/>
  <w15:docId w15:val="{330D0CDD-D4D6-4F64-8217-4C18A37E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02C7"/>
  </w:style>
  <w:style w:type="paragraph" w:styleId="berschrift1">
    <w:name w:val="heading 1"/>
    <w:basedOn w:val="Standard"/>
    <w:next w:val="Standard"/>
    <w:link w:val="berschrift1Zchn"/>
    <w:uiPriority w:val="9"/>
    <w:qFormat/>
    <w:rsid w:val="00697B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6677"/>
    <w:pPr>
      <w:ind w:left="720"/>
      <w:contextualSpacing/>
    </w:pPr>
  </w:style>
  <w:style w:type="paragraph" w:styleId="Sprechblasentext">
    <w:name w:val="Balloon Text"/>
    <w:basedOn w:val="Standard"/>
    <w:link w:val="SprechblasentextZchn"/>
    <w:uiPriority w:val="99"/>
    <w:semiHidden/>
    <w:unhideWhenUsed/>
    <w:rsid w:val="00077C8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7C86"/>
    <w:rPr>
      <w:rFonts w:ascii="Segoe UI" w:hAnsi="Segoe UI" w:cs="Segoe UI"/>
      <w:sz w:val="18"/>
      <w:szCs w:val="18"/>
    </w:rPr>
  </w:style>
  <w:style w:type="paragraph" w:styleId="Kopfzeile">
    <w:name w:val="header"/>
    <w:basedOn w:val="Standard"/>
    <w:link w:val="KopfzeileZchn"/>
    <w:uiPriority w:val="99"/>
    <w:unhideWhenUsed/>
    <w:rsid w:val="00077C86"/>
    <w:pPr>
      <w:tabs>
        <w:tab w:val="center" w:pos="4536"/>
        <w:tab w:val="right" w:pos="9072"/>
      </w:tabs>
    </w:pPr>
  </w:style>
  <w:style w:type="character" w:customStyle="1" w:styleId="KopfzeileZchn">
    <w:name w:val="Kopfzeile Zchn"/>
    <w:basedOn w:val="Absatz-Standardschriftart"/>
    <w:link w:val="Kopfzeile"/>
    <w:uiPriority w:val="99"/>
    <w:rsid w:val="00077C86"/>
  </w:style>
  <w:style w:type="paragraph" w:styleId="Fuzeile">
    <w:name w:val="footer"/>
    <w:basedOn w:val="Standard"/>
    <w:link w:val="FuzeileZchn"/>
    <w:uiPriority w:val="99"/>
    <w:unhideWhenUsed/>
    <w:rsid w:val="00077C86"/>
    <w:pPr>
      <w:tabs>
        <w:tab w:val="center" w:pos="4536"/>
        <w:tab w:val="right" w:pos="9072"/>
      </w:tabs>
    </w:pPr>
  </w:style>
  <w:style w:type="character" w:customStyle="1" w:styleId="FuzeileZchn">
    <w:name w:val="Fußzeile Zchn"/>
    <w:basedOn w:val="Absatz-Standardschriftart"/>
    <w:link w:val="Fuzeile"/>
    <w:uiPriority w:val="99"/>
    <w:rsid w:val="00077C86"/>
  </w:style>
  <w:style w:type="table" w:styleId="Tabellenraster">
    <w:name w:val="Table Grid"/>
    <w:basedOn w:val="NormaleTabelle"/>
    <w:uiPriority w:val="59"/>
    <w:rsid w:val="0007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97B51"/>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unhideWhenUsed/>
    <w:rsid w:val="00AE0D59"/>
    <w:pPr>
      <w:spacing w:before="100" w:beforeAutospacing="1" w:after="100" w:afterAutospacing="1"/>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7CB5AA-6CB3-413C-A384-A469D5C2CD72}" type="doc">
      <dgm:prSet loTypeId="urn:microsoft.com/office/officeart/2005/8/layout/process4" loCatId="list" qsTypeId="urn:microsoft.com/office/officeart/2005/8/quickstyle/simple1" qsCatId="simple" csTypeId="urn:microsoft.com/office/officeart/2005/8/colors/accent1_1" csCatId="accent1" phldr="1"/>
      <dgm:spPr/>
      <dgm:t>
        <a:bodyPr/>
        <a:lstStyle/>
        <a:p>
          <a:endParaRPr lang="de-DE"/>
        </a:p>
      </dgm:t>
    </dgm:pt>
    <dgm:pt modelId="{60401237-0590-4F1E-AD53-2167D5CAA512}">
      <dgm:prSet phldrT="[Text]" custT="1"/>
      <dgm:spPr/>
      <dgm:t>
        <a:bodyPr/>
        <a:lstStyle/>
        <a:p>
          <a:pPr>
            <a:spcAft>
              <a:spcPts val="0"/>
            </a:spcAft>
          </a:pPr>
          <a:r>
            <a:rPr lang="de-DE" sz="1200" b="1">
              <a:latin typeface="+mj-lt"/>
              <a:cs typeface="Arial" pitchFamily="34" charset="0"/>
            </a:rPr>
            <a:t>Stellungnahme der/des Studierenden zur </a:t>
          </a:r>
        </a:p>
        <a:p>
          <a:pPr>
            <a:spcAft>
              <a:spcPts val="0"/>
            </a:spcAft>
          </a:pPr>
          <a:r>
            <a:rPr lang="de-DE" sz="1200" b="1">
              <a:latin typeface="+mj-lt"/>
              <a:cs typeface="Arial" pitchFamily="34" charset="0"/>
            </a:rPr>
            <a:t>Unterrichtsstunde (ggf. mit Hilfe des Beobachtungsbogens) </a:t>
          </a:r>
        </a:p>
      </dgm:t>
    </dgm:pt>
    <dgm:pt modelId="{8263C726-AA76-41A2-A668-1F65BE700F6E}" type="parTrans" cxnId="{6A95FCEF-0F5D-4504-8E65-052352AC6221}">
      <dgm:prSet/>
      <dgm:spPr/>
      <dgm:t>
        <a:bodyPr/>
        <a:lstStyle/>
        <a:p>
          <a:endParaRPr lang="de-DE"/>
        </a:p>
      </dgm:t>
    </dgm:pt>
    <dgm:pt modelId="{11DD1055-91A9-46D9-8C17-527DFA340145}" type="sibTrans" cxnId="{6A95FCEF-0F5D-4504-8E65-052352AC6221}">
      <dgm:prSet/>
      <dgm:spPr/>
      <dgm:t>
        <a:bodyPr/>
        <a:lstStyle/>
        <a:p>
          <a:endParaRPr lang="de-DE"/>
        </a:p>
      </dgm:t>
    </dgm:pt>
    <dgm:pt modelId="{51A17BDB-B435-4732-9783-6223A835B8BA}">
      <dgm:prSet phldrT="[Text]" custT="1"/>
      <dgm:spPr/>
      <dgm:t>
        <a:bodyPr/>
        <a:lstStyle/>
        <a:p>
          <a:pPr>
            <a:spcAft>
              <a:spcPts val="0"/>
            </a:spcAft>
          </a:pPr>
          <a:r>
            <a:rPr lang="de-DE" sz="1200" b="1">
              <a:latin typeface="+mj-lt"/>
              <a:cs typeface="Arial" pitchFamily="34" charset="0"/>
            </a:rPr>
            <a:t>Herausstellung der personenbezogenen Ressourcen der/des Studierenden und </a:t>
          </a:r>
        </a:p>
        <a:p>
          <a:pPr>
            <a:spcAft>
              <a:spcPts val="0"/>
            </a:spcAft>
          </a:pPr>
          <a:r>
            <a:rPr lang="de-DE" sz="1200" b="1">
              <a:latin typeface="+mj-lt"/>
              <a:cs typeface="Arial" pitchFamily="34" charset="0"/>
            </a:rPr>
            <a:t>gelungene Aspekte der Unterrichtsstunde</a:t>
          </a:r>
        </a:p>
      </dgm:t>
    </dgm:pt>
    <dgm:pt modelId="{EDA5D15D-AD8A-4EAD-AE93-BDB93A03FECB}" type="parTrans" cxnId="{AC47B053-B866-4D25-A4DF-0CF7880F86BD}">
      <dgm:prSet/>
      <dgm:spPr/>
      <dgm:t>
        <a:bodyPr/>
        <a:lstStyle/>
        <a:p>
          <a:endParaRPr lang="de-DE"/>
        </a:p>
      </dgm:t>
    </dgm:pt>
    <dgm:pt modelId="{EEBCA37B-CE5D-470F-B29A-F6B38AF4A2E9}" type="sibTrans" cxnId="{AC47B053-B866-4D25-A4DF-0CF7880F86BD}">
      <dgm:prSet/>
      <dgm:spPr/>
      <dgm:t>
        <a:bodyPr/>
        <a:lstStyle/>
        <a:p>
          <a:endParaRPr lang="de-DE"/>
        </a:p>
      </dgm:t>
    </dgm:pt>
    <dgm:pt modelId="{5699419E-CC45-4397-A7A9-F43EC036D94A}">
      <dgm:prSet phldrT="[Text]" custT="1"/>
      <dgm:spPr/>
      <dgm:t>
        <a:bodyPr/>
        <a:lstStyle/>
        <a:p>
          <a:pPr>
            <a:spcAft>
              <a:spcPts val="0"/>
            </a:spcAft>
          </a:pPr>
          <a:r>
            <a:rPr lang="de-DE" sz="1200" b="1">
              <a:latin typeface="+mj-lt"/>
              <a:cs typeface="Arial" pitchFamily="34" charset="0"/>
            </a:rPr>
            <a:t>Beratungsgespräch</a:t>
          </a:r>
        </a:p>
      </dgm:t>
    </dgm:pt>
    <dgm:pt modelId="{58B8413B-13E6-4064-8B45-7BE66B4105CB}" type="parTrans" cxnId="{09C4DC74-7CE1-496B-9559-D635E8B25B69}">
      <dgm:prSet/>
      <dgm:spPr/>
      <dgm:t>
        <a:bodyPr/>
        <a:lstStyle/>
        <a:p>
          <a:endParaRPr lang="de-DE"/>
        </a:p>
      </dgm:t>
    </dgm:pt>
    <dgm:pt modelId="{FF8A738B-69CE-48D4-8FFE-9F0E939031DE}" type="sibTrans" cxnId="{09C4DC74-7CE1-496B-9559-D635E8B25B69}">
      <dgm:prSet/>
      <dgm:spPr/>
      <dgm:t>
        <a:bodyPr/>
        <a:lstStyle/>
        <a:p>
          <a:endParaRPr lang="de-DE"/>
        </a:p>
      </dgm:t>
    </dgm:pt>
    <dgm:pt modelId="{8BEBDBC8-7053-48DA-931A-2C1F57286571}">
      <dgm:prSet custT="1"/>
      <dgm:spPr/>
      <dgm:t>
        <a:bodyPr/>
        <a:lstStyle/>
        <a:p>
          <a:pPr>
            <a:spcAft>
              <a:spcPts val="0"/>
            </a:spcAft>
          </a:pPr>
          <a:r>
            <a:rPr lang="de-DE" sz="1200" b="1">
              <a:latin typeface="+mj-lt"/>
              <a:cs typeface="Arial" pitchFamily="34" charset="0"/>
            </a:rPr>
            <a:t>Sammlung möglicher Beratungsaspekte mit Bezug zum Beoabachtungsbogen (s. Anhang) </a:t>
          </a:r>
        </a:p>
      </dgm:t>
    </dgm:pt>
    <dgm:pt modelId="{32CC4519-CD19-48C7-B773-54C57C4CD4E7}" type="parTrans" cxnId="{295A207B-AECF-4FDD-AEE5-28083DABF259}">
      <dgm:prSet/>
      <dgm:spPr/>
      <dgm:t>
        <a:bodyPr/>
        <a:lstStyle/>
        <a:p>
          <a:endParaRPr lang="de-DE"/>
        </a:p>
      </dgm:t>
    </dgm:pt>
    <dgm:pt modelId="{63603477-72E9-4C50-A07B-29199D5D4134}" type="sibTrans" cxnId="{295A207B-AECF-4FDD-AEE5-28083DABF259}">
      <dgm:prSet/>
      <dgm:spPr/>
      <dgm:t>
        <a:bodyPr/>
        <a:lstStyle/>
        <a:p>
          <a:endParaRPr lang="de-DE"/>
        </a:p>
      </dgm:t>
    </dgm:pt>
    <dgm:pt modelId="{888F3B60-6E18-4E68-99E6-BB57C341DCA0}">
      <dgm:prSet custT="1"/>
      <dgm:spPr/>
      <dgm:t>
        <a:bodyPr/>
        <a:lstStyle/>
        <a:p>
          <a:pPr>
            <a:spcAft>
              <a:spcPts val="0"/>
            </a:spcAft>
          </a:pPr>
          <a:r>
            <a:rPr lang="de-DE" sz="1200" b="1">
              <a:latin typeface="+mj-lt"/>
              <a:cs typeface="Arial" pitchFamily="34" charset="0"/>
            </a:rPr>
            <a:t>Auswertung des Beratungsgesprächs / </a:t>
          </a:r>
          <a:br>
            <a:rPr lang="de-DE" sz="1200" b="1">
              <a:latin typeface="+mj-lt"/>
              <a:cs typeface="Arial" pitchFamily="34" charset="0"/>
            </a:rPr>
          </a:br>
          <a:r>
            <a:rPr lang="de-DE" sz="1200" b="1">
              <a:latin typeface="+mj-lt"/>
              <a:cs typeface="Arial" pitchFamily="34" charset="0"/>
            </a:rPr>
            <a:t>Perspektiven für die individuelle Weiterentwicklung</a:t>
          </a:r>
          <a:endParaRPr lang="de-DE" sz="1200">
            <a:latin typeface="+mj-lt"/>
            <a:cs typeface="Arial" pitchFamily="34" charset="0"/>
          </a:endParaRPr>
        </a:p>
      </dgm:t>
    </dgm:pt>
    <dgm:pt modelId="{8A320EEC-8F0C-4451-ACD6-8EACB27097BC}" type="parTrans" cxnId="{B0F8CF6F-DFED-4064-B3FC-E3B798ECB494}">
      <dgm:prSet/>
      <dgm:spPr/>
      <dgm:t>
        <a:bodyPr/>
        <a:lstStyle/>
        <a:p>
          <a:endParaRPr lang="de-DE"/>
        </a:p>
      </dgm:t>
    </dgm:pt>
    <dgm:pt modelId="{75288AEC-F4CA-4787-9AFC-A5DB4EB49EAE}" type="sibTrans" cxnId="{B0F8CF6F-DFED-4064-B3FC-E3B798ECB494}">
      <dgm:prSet/>
      <dgm:spPr/>
      <dgm:t>
        <a:bodyPr/>
        <a:lstStyle/>
        <a:p>
          <a:endParaRPr lang="de-DE"/>
        </a:p>
      </dgm:t>
    </dgm:pt>
    <dgm:pt modelId="{4A045A3F-9385-46F7-807F-F62D4A79EBA9}">
      <dgm:prSet custT="1"/>
      <dgm:spPr/>
      <dgm:t>
        <a:bodyPr/>
        <a:lstStyle/>
        <a:p>
          <a:pPr>
            <a:spcAft>
              <a:spcPts val="0"/>
            </a:spcAft>
          </a:pPr>
          <a:r>
            <a:rPr lang="de-DE" sz="1200" b="1">
              <a:latin typeface="+mj-lt"/>
              <a:cs typeface="Arial" pitchFamily="34" charset="0"/>
            </a:rPr>
            <a:t>ggf. Metakommunikation zu Ablauf und Durchführung der Beratung</a:t>
          </a:r>
        </a:p>
      </dgm:t>
    </dgm:pt>
    <dgm:pt modelId="{FB54DCB0-20CC-4132-AC43-90F925293C6C}" type="parTrans" cxnId="{FC1700F5-BF82-4322-A499-3520D8F512CC}">
      <dgm:prSet/>
      <dgm:spPr/>
      <dgm:t>
        <a:bodyPr/>
        <a:lstStyle/>
        <a:p>
          <a:endParaRPr lang="de-DE"/>
        </a:p>
      </dgm:t>
    </dgm:pt>
    <dgm:pt modelId="{DDDE7822-A83D-48E1-AA2B-5B6E2603BABC}" type="sibTrans" cxnId="{FC1700F5-BF82-4322-A499-3520D8F512CC}">
      <dgm:prSet/>
      <dgm:spPr/>
      <dgm:t>
        <a:bodyPr/>
        <a:lstStyle/>
        <a:p>
          <a:endParaRPr lang="de-DE"/>
        </a:p>
      </dgm:t>
    </dgm:pt>
    <dgm:pt modelId="{501E7025-AA05-405F-B404-D1935EA9ECA5}" type="pres">
      <dgm:prSet presAssocID="{E57CB5AA-6CB3-413C-A384-A469D5C2CD72}" presName="Name0" presStyleCnt="0">
        <dgm:presLayoutVars>
          <dgm:dir/>
          <dgm:animLvl val="lvl"/>
          <dgm:resizeHandles val="exact"/>
        </dgm:presLayoutVars>
      </dgm:prSet>
      <dgm:spPr/>
    </dgm:pt>
    <dgm:pt modelId="{EF5615D4-67B3-4123-8EF1-D8109064A564}" type="pres">
      <dgm:prSet presAssocID="{4A045A3F-9385-46F7-807F-F62D4A79EBA9}" presName="boxAndChildren" presStyleCnt="0"/>
      <dgm:spPr/>
    </dgm:pt>
    <dgm:pt modelId="{F861D096-5327-4147-9D25-FE580460F427}" type="pres">
      <dgm:prSet presAssocID="{4A045A3F-9385-46F7-807F-F62D4A79EBA9}" presName="parentTextBox" presStyleLbl="node1" presStyleIdx="0" presStyleCnt="6"/>
      <dgm:spPr/>
    </dgm:pt>
    <dgm:pt modelId="{CF9AE156-AF25-41F0-B40C-D2EE06DB69E3}" type="pres">
      <dgm:prSet presAssocID="{75288AEC-F4CA-4787-9AFC-A5DB4EB49EAE}" presName="sp" presStyleCnt="0"/>
      <dgm:spPr/>
    </dgm:pt>
    <dgm:pt modelId="{453FCB42-E570-4B51-95CA-F4A505DCFC87}" type="pres">
      <dgm:prSet presAssocID="{888F3B60-6E18-4E68-99E6-BB57C341DCA0}" presName="arrowAndChildren" presStyleCnt="0"/>
      <dgm:spPr/>
    </dgm:pt>
    <dgm:pt modelId="{B01F1AF9-BDAB-4EAB-8023-211D1C0AB5BB}" type="pres">
      <dgm:prSet presAssocID="{888F3B60-6E18-4E68-99E6-BB57C341DCA0}" presName="parentTextArrow" presStyleLbl="node1" presStyleIdx="1" presStyleCnt="6" custScaleY="119125" custLinFactNeighborY="1055"/>
      <dgm:spPr/>
    </dgm:pt>
    <dgm:pt modelId="{362307F5-E465-4B6C-A0DA-CAA9573ED57B}" type="pres">
      <dgm:prSet presAssocID="{FF8A738B-69CE-48D4-8FFE-9F0E939031DE}" presName="sp" presStyleCnt="0"/>
      <dgm:spPr/>
    </dgm:pt>
    <dgm:pt modelId="{9556C45E-701C-4FDD-BBDA-8FF8A771705B}" type="pres">
      <dgm:prSet presAssocID="{5699419E-CC45-4397-A7A9-F43EC036D94A}" presName="arrowAndChildren" presStyleCnt="0"/>
      <dgm:spPr/>
    </dgm:pt>
    <dgm:pt modelId="{4F98CE6D-553F-49A1-A132-256C49C9FE85}" type="pres">
      <dgm:prSet presAssocID="{5699419E-CC45-4397-A7A9-F43EC036D94A}" presName="parentTextArrow" presStyleLbl="node1" presStyleIdx="2" presStyleCnt="6" custScaleY="106900" custLinFactNeighborX="-1433"/>
      <dgm:spPr/>
    </dgm:pt>
    <dgm:pt modelId="{FCECD1B2-1CDB-47E8-A08B-E59D2F7FEAFF}" type="pres">
      <dgm:prSet presAssocID="{63603477-72E9-4C50-A07B-29199D5D4134}" presName="sp" presStyleCnt="0"/>
      <dgm:spPr/>
    </dgm:pt>
    <dgm:pt modelId="{AC4C1A71-901F-4AD4-9C67-F1125E0B3DB2}" type="pres">
      <dgm:prSet presAssocID="{8BEBDBC8-7053-48DA-931A-2C1F57286571}" presName="arrowAndChildren" presStyleCnt="0"/>
      <dgm:spPr/>
    </dgm:pt>
    <dgm:pt modelId="{F6D4736D-60EC-440E-89A6-BA1EB707AAA4}" type="pres">
      <dgm:prSet presAssocID="{8BEBDBC8-7053-48DA-931A-2C1F57286571}" presName="parentTextArrow" presStyleLbl="node1" presStyleIdx="3" presStyleCnt="6" custScaleY="97567"/>
      <dgm:spPr/>
    </dgm:pt>
    <dgm:pt modelId="{A13C63F4-53D6-430A-8BD5-1BDB72248E08}" type="pres">
      <dgm:prSet presAssocID="{EEBCA37B-CE5D-470F-B29A-F6B38AF4A2E9}" presName="sp" presStyleCnt="0"/>
      <dgm:spPr/>
    </dgm:pt>
    <dgm:pt modelId="{A968DEAD-EB32-4675-9E62-1D016FC3B781}" type="pres">
      <dgm:prSet presAssocID="{51A17BDB-B435-4732-9783-6223A835B8BA}" presName="arrowAndChildren" presStyleCnt="0"/>
      <dgm:spPr/>
    </dgm:pt>
    <dgm:pt modelId="{54B84C16-C846-4892-8080-1DBC871D05BE}" type="pres">
      <dgm:prSet presAssocID="{51A17BDB-B435-4732-9783-6223A835B8BA}" presName="parentTextArrow" presStyleLbl="node1" presStyleIdx="4" presStyleCnt="6" custScaleY="104240" custLinFactNeighborY="902"/>
      <dgm:spPr/>
    </dgm:pt>
    <dgm:pt modelId="{6E4432EE-2B82-48F7-94EB-17BB3A8A2C88}" type="pres">
      <dgm:prSet presAssocID="{11DD1055-91A9-46D9-8C17-527DFA340145}" presName="sp" presStyleCnt="0"/>
      <dgm:spPr/>
    </dgm:pt>
    <dgm:pt modelId="{F75DB14B-7255-474C-9ED3-B35EC396081D}" type="pres">
      <dgm:prSet presAssocID="{60401237-0590-4F1E-AD53-2167D5CAA512}" presName="arrowAndChildren" presStyleCnt="0"/>
      <dgm:spPr/>
    </dgm:pt>
    <dgm:pt modelId="{A575E7E7-14AD-4503-95AF-55600F0A6C04}" type="pres">
      <dgm:prSet presAssocID="{60401237-0590-4F1E-AD53-2167D5CAA512}" presName="parentTextArrow" presStyleLbl="node1" presStyleIdx="5" presStyleCnt="6" custScaleY="99825"/>
      <dgm:spPr/>
    </dgm:pt>
  </dgm:ptLst>
  <dgm:cxnLst>
    <dgm:cxn modelId="{573A1D47-063F-45DB-ADBD-CBB517FF48F8}" type="presOf" srcId="{5699419E-CC45-4397-A7A9-F43EC036D94A}" destId="{4F98CE6D-553F-49A1-A132-256C49C9FE85}" srcOrd="0" destOrd="0" presId="urn:microsoft.com/office/officeart/2005/8/layout/process4"/>
    <dgm:cxn modelId="{B0F8CF6F-DFED-4064-B3FC-E3B798ECB494}" srcId="{E57CB5AA-6CB3-413C-A384-A469D5C2CD72}" destId="{888F3B60-6E18-4E68-99E6-BB57C341DCA0}" srcOrd="4" destOrd="0" parTransId="{8A320EEC-8F0C-4451-ACD6-8EACB27097BC}" sibTransId="{75288AEC-F4CA-4787-9AFC-A5DB4EB49EAE}"/>
    <dgm:cxn modelId="{7B58BC51-7726-4AB7-8361-7105EEE8CDFE}" type="presOf" srcId="{60401237-0590-4F1E-AD53-2167D5CAA512}" destId="{A575E7E7-14AD-4503-95AF-55600F0A6C04}" srcOrd="0" destOrd="0" presId="urn:microsoft.com/office/officeart/2005/8/layout/process4"/>
    <dgm:cxn modelId="{AC47B053-B866-4D25-A4DF-0CF7880F86BD}" srcId="{E57CB5AA-6CB3-413C-A384-A469D5C2CD72}" destId="{51A17BDB-B435-4732-9783-6223A835B8BA}" srcOrd="1" destOrd="0" parTransId="{EDA5D15D-AD8A-4EAD-AE93-BDB93A03FECB}" sibTransId="{EEBCA37B-CE5D-470F-B29A-F6B38AF4A2E9}"/>
    <dgm:cxn modelId="{09C4DC74-7CE1-496B-9559-D635E8B25B69}" srcId="{E57CB5AA-6CB3-413C-A384-A469D5C2CD72}" destId="{5699419E-CC45-4397-A7A9-F43EC036D94A}" srcOrd="3" destOrd="0" parTransId="{58B8413B-13E6-4064-8B45-7BE66B4105CB}" sibTransId="{FF8A738B-69CE-48D4-8FFE-9F0E939031DE}"/>
    <dgm:cxn modelId="{295A207B-AECF-4FDD-AEE5-28083DABF259}" srcId="{E57CB5AA-6CB3-413C-A384-A469D5C2CD72}" destId="{8BEBDBC8-7053-48DA-931A-2C1F57286571}" srcOrd="2" destOrd="0" parTransId="{32CC4519-CD19-48C7-B773-54C57C4CD4E7}" sibTransId="{63603477-72E9-4C50-A07B-29199D5D4134}"/>
    <dgm:cxn modelId="{26D9FC81-F8CC-43D3-839B-9A4968B46349}" type="presOf" srcId="{E57CB5AA-6CB3-413C-A384-A469D5C2CD72}" destId="{501E7025-AA05-405F-B404-D1935EA9ECA5}" srcOrd="0" destOrd="0" presId="urn:microsoft.com/office/officeart/2005/8/layout/process4"/>
    <dgm:cxn modelId="{2106878B-A1DA-4F7E-97CF-5FD4054C1E92}" type="presOf" srcId="{8BEBDBC8-7053-48DA-931A-2C1F57286571}" destId="{F6D4736D-60EC-440E-89A6-BA1EB707AAA4}" srcOrd="0" destOrd="0" presId="urn:microsoft.com/office/officeart/2005/8/layout/process4"/>
    <dgm:cxn modelId="{128253C9-E059-4E96-9586-A9A834D55C7A}" type="presOf" srcId="{4A045A3F-9385-46F7-807F-F62D4A79EBA9}" destId="{F861D096-5327-4147-9D25-FE580460F427}" srcOrd="0" destOrd="0" presId="urn:microsoft.com/office/officeart/2005/8/layout/process4"/>
    <dgm:cxn modelId="{DADB28D3-262F-45D3-8123-026F79996CD8}" type="presOf" srcId="{888F3B60-6E18-4E68-99E6-BB57C341DCA0}" destId="{B01F1AF9-BDAB-4EAB-8023-211D1C0AB5BB}" srcOrd="0" destOrd="0" presId="urn:microsoft.com/office/officeart/2005/8/layout/process4"/>
    <dgm:cxn modelId="{E792D6E8-7276-4B25-875F-0532FFE301FE}" type="presOf" srcId="{51A17BDB-B435-4732-9783-6223A835B8BA}" destId="{54B84C16-C846-4892-8080-1DBC871D05BE}" srcOrd="0" destOrd="0" presId="urn:microsoft.com/office/officeart/2005/8/layout/process4"/>
    <dgm:cxn modelId="{6A95FCEF-0F5D-4504-8E65-052352AC6221}" srcId="{E57CB5AA-6CB3-413C-A384-A469D5C2CD72}" destId="{60401237-0590-4F1E-AD53-2167D5CAA512}" srcOrd="0" destOrd="0" parTransId="{8263C726-AA76-41A2-A668-1F65BE700F6E}" sibTransId="{11DD1055-91A9-46D9-8C17-527DFA340145}"/>
    <dgm:cxn modelId="{FC1700F5-BF82-4322-A499-3520D8F512CC}" srcId="{E57CB5AA-6CB3-413C-A384-A469D5C2CD72}" destId="{4A045A3F-9385-46F7-807F-F62D4A79EBA9}" srcOrd="5" destOrd="0" parTransId="{FB54DCB0-20CC-4132-AC43-90F925293C6C}" sibTransId="{DDDE7822-A83D-48E1-AA2B-5B6E2603BABC}"/>
    <dgm:cxn modelId="{624E5C5C-4E6B-4DB9-BBE9-B33D3F5D5AE3}" type="presParOf" srcId="{501E7025-AA05-405F-B404-D1935EA9ECA5}" destId="{EF5615D4-67B3-4123-8EF1-D8109064A564}" srcOrd="0" destOrd="0" presId="urn:microsoft.com/office/officeart/2005/8/layout/process4"/>
    <dgm:cxn modelId="{A95F3F80-2751-4EE1-B49A-7EDB25458E40}" type="presParOf" srcId="{EF5615D4-67B3-4123-8EF1-D8109064A564}" destId="{F861D096-5327-4147-9D25-FE580460F427}" srcOrd="0" destOrd="0" presId="urn:microsoft.com/office/officeart/2005/8/layout/process4"/>
    <dgm:cxn modelId="{85932681-4304-4EEE-86CA-740221B41750}" type="presParOf" srcId="{501E7025-AA05-405F-B404-D1935EA9ECA5}" destId="{CF9AE156-AF25-41F0-B40C-D2EE06DB69E3}" srcOrd="1" destOrd="0" presId="urn:microsoft.com/office/officeart/2005/8/layout/process4"/>
    <dgm:cxn modelId="{4B6EC3E9-AEA3-40D8-96D6-BF79C26F9AB0}" type="presParOf" srcId="{501E7025-AA05-405F-B404-D1935EA9ECA5}" destId="{453FCB42-E570-4B51-95CA-F4A505DCFC87}" srcOrd="2" destOrd="0" presId="urn:microsoft.com/office/officeart/2005/8/layout/process4"/>
    <dgm:cxn modelId="{2C417DAC-772F-42E5-8E0D-9FED8D9A84B7}" type="presParOf" srcId="{453FCB42-E570-4B51-95CA-F4A505DCFC87}" destId="{B01F1AF9-BDAB-4EAB-8023-211D1C0AB5BB}" srcOrd="0" destOrd="0" presId="urn:microsoft.com/office/officeart/2005/8/layout/process4"/>
    <dgm:cxn modelId="{BA8A1D10-DBF5-4804-AB64-4D301826410C}" type="presParOf" srcId="{501E7025-AA05-405F-B404-D1935EA9ECA5}" destId="{362307F5-E465-4B6C-A0DA-CAA9573ED57B}" srcOrd="3" destOrd="0" presId="urn:microsoft.com/office/officeart/2005/8/layout/process4"/>
    <dgm:cxn modelId="{61E54B2C-A15D-480E-B444-42FEB3B33CA6}" type="presParOf" srcId="{501E7025-AA05-405F-B404-D1935EA9ECA5}" destId="{9556C45E-701C-4FDD-BBDA-8FF8A771705B}" srcOrd="4" destOrd="0" presId="urn:microsoft.com/office/officeart/2005/8/layout/process4"/>
    <dgm:cxn modelId="{3B2608EE-D90D-4DF4-96D4-451C70D80DFF}" type="presParOf" srcId="{9556C45E-701C-4FDD-BBDA-8FF8A771705B}" destId="{4F98CE6D-553F-49A1-A132-256C49C9FE85}" srcOrd="0" destOrd="0" presId="urn:microsoft.com/office/officeart/2005/8/layout/process4"/>
    <dgm:cxn modelId="{3C23F2F2-ED0D-43FF-9125-3FF477F2BC40}" type="presParOf" srcId="{501E7025-AA05-405F-B404-D1935EA9ECA5}" destId="{FCECD1B2-1CDB-47E8-A08B-E59D2F7FEAFF}" srcOrd="5" destOrd="0" presId="urn:microsoft.com/office/officeart/2005/8/layout/process4"/>
    <dgm:cxn modelId="{E9E3E599-A6CE-43D9-8BD1-2022F55B5230}" type="presParOf" srcId="{501E7025-AA05-405F-B404-D1935EA9ECA5}" destId="{AC4C1A71-901F-4AD4-9C67-F1125E0B3DB2}" srcOrd="6" destOrd="0" presId="urn:microsoft.com/office/officeart/2005/8/layout/process4"/>
    <dgm:cxn modelId="{7FE8FEF9-1066-4449-9D0C-CC810BCD8D35}" type="presParOf" srcId="{AC4C1A71-901F-4AD4-9C67-F1125E0B3DB2}" destId="{F6D4736D-60EC-440E-89A6-BA1EB707AAA4}" srcOrd="0" destOrd="0" presId="urn:microsoft.com/office/officeart/2005/8/layout/process4"/>
    <dgm:cxn modelId="{2B83CDB6-B86D-45D2-AC39-8CAD2EE25473}" type="presParOf" srcId="{501E7025-AA05-405F-B404-D1935EA9ECA5}" destId="{A13C63F4-53D6-430A-8BD5-1BDB72248E08}" srcOrd="7" destOrd="0" presId="urn:microsoft.com/office/officeart/2005/8/layout/process4"/>
    <dgm:cxn modelId="{0DA0C1B5-6CCA-4813-B501-3EEE0AFC5A6D}" type="presParOf" srcId="{501E7025-AA05-405F-B404-D1935EA9ECA5}" destId="{A968DEAD-EB32-4675-9E62-1D016FC3B781}" srcOrd="8" destOrd="0" presId="urn:microsoft.com/office/officeart/2005/8/layout/process4"/>
    <dgm:cxn modelId="{328CDC9E-8DBD-406D-A4E9-461D671ADD05}" type="presParOf" srcId="{A968DEAD-EB32-4675-9E62-1D016FC3B781}" destId="{54B84C16-C846-4892-8080-1DBC871D05BE}" srcOrd="0" destOrd="0" presId="urn:microsoft.com/office/officeart/2005/8/layout/process4"/>
    <dgm:cxn modelId="{80D4F578-C3D9-48C6-9E24-ED510AF5D3CF}" type="presParOf" srcId="{501E7025-AA05-405F-B404-D1935EA9ECA5}" destId="{6E4432EE-2B82-48F7-94EB-17BB3A8A2C88}" srcOrd="9" destOrd="0" presId="urn:microsoft.com/office/officeart/2005/8/layout/process4"/>
    <dgm:cxn modelId="{6A6F122A-F0F0-4617-B55F-2571C9BBF71E}" type="presParOf" srcId="{501E7025-AA05-405F-B404-D1935EA9ECA5}" destId="{F75DB14B-7255-474C-9ED3-B35EC396081D}" srcOrd="10" destOrd="0" presId="urn:microsoft.com/office/officeart/2005/8/layout/process4"/>
    <dgm:cxn modelId="{EAA76DCA-919A-4A5D-BCB4-B692787F057B}" type="presParOf" srcId="{F75DB14B-7255-474C-9ED3-B35EC396081D}" destId="{A575E7E7-14AD-4503-95AF-55600F0A6C04}"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1D096-5327-4147-9D25-FE580460F427}">
      <dsp:nvSpPr>
        <dsp:cNvPr id="0" name=""/>
        <dsp:cNvSpPr/>
      </dsp:nvSpPr>
      <dsp:spPr>
        <a:xfrm>
          <a:off x="0" y="3430651"/>
          <a:ext cx="5810250" cy="42663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ts val="0"/>
            </a:spcAft>
            <a:buNone/>
          </a:pPr>
          <a:r>
            <a:rPr lang="de-DE" sz="1200" b="1" kern="1200">
              <a:latin typeface="+mj-lt"/>
              <a:cs typeface="Arial" pitchFamily="34" charset="0"/>
            </a:rPr>
            <a:t>ggf. Metakommunikation zu Ablauf und Durchführung der Beratung</a:t>
          </a:r>
        </a:p>
      </dsp:txBody>
      <dsp:txXfrm>
        <a:off x="0" y="3430651"/>
        <a:ext cx="5810250" cy="426636"/>
      </dsp:txXfrm>
    </dsp:sp>
    <dsp:sp modelId="{B01F1AF9-BDAB-4EAB-8023-211D1C0AB5BB}">
      <dsp:nvSpPr>
        <dsp:cNvPr id="0" name=""/>
        <dsp:cNvSpPr/>
      </dsp:nvSpPr>
      <dsp:spPr>
        <a:xfrm rot="10800000">
          <a:off x="0" y="2662314"/>
          <a:ext cx="5810250" cy="781659"/>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ts val="0"/>
            </a:spcAft>
            <a:buNone/>
          </a:pPr>
          <a:r>
            <a:rPr lang="de-DE" sz="1200" b="1" kern="1200">
              <a:latin typeface="+mj-lt"/>
              <a:cs typeface="Arial" pitchFamily="34" charset="0"/>
            </a:rPr>
            <a:t>Auswertung des Beratungsgesprächs / </a:t>
          </a:r>
          <a:br>
            <a:rPr lang="de-DE" sz="1200" b="1" kern="1200">
              <a:latin typeface="+mj-lt"/>
              <a:cs typeface="Arial" pitchFamily="34" charset="0"/>
            </a:rPr>
          </a:br>
          <a:r>
            <a:rPr lang="de-DE" sz="1200" b="1" kern="1200">
              <a:latin typeface="+mj-lt"/>
              <a:cs typeface="Arial" pitchFamily="34" charset="0"/>
            </a:rPr>
            <a:t>Perspektiven für die individuelle Weiterentwicklung</a:t>
          </a:r>
          <a:endParaRPr lang="de-DE" sz="1200" kern="1200">
            <a:latin typeface="+mj-lt"/>
            <a:cs typeface="Arial" pitchFamily="34" charset="0"/>
          </a:endParaRPr>
        </a:p>
      </dsp:txBody>
      <dsp:txXfrm rot="10800000">
        <a:off x="0" y="2662314"/>
        <a:ext cx="5810250" cy="507899"/>
      </dsp:txXfrm>
    </dsp:sp>
    <dsp:sp modelId="{4F98CE6D-553F-49A1-A132-256C49C9FE85}">
      <dsp:nvSpPr>
        <dsp:cNvPr id="0" name=""/>
        <dsp:cNvSpPr/>
      </dsp:nvSpPr>
      <dsp:spPr>
        <a:xfrm rot="10800000">
          <a:off x="0" y="1960348"/>
          <a:ext cx="5810250" cy="701442"/>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ts val="0"/>
            </a:spcAft>
            <a:buNone/>
          </a:pPr>
          <a:r>
            <a:rPr lang="de-DE" sz="1200" b="1" kern="1200">
              <a:latin typeface="+mj-lt"/>
              <a:cs typeface="Arial" pitchFamily="34" charset="0"/>
            </a:rPr>
            <a:t>Beratungsgespräch</a:t>
          </a:r>
        </a:p>
      </dsp:txBody>
      <dsp:txXfrm rot="10800000">
        <a:off x="0" y="1960348"/>
        <a:ext cx="5810250" cy="455776"/>
      </dsp:txXfrm>
    </dsp:sp>
    <dsp:sp modelId="{F6D4736D-60EC-440E-89A6-BA1EB707AAA4}">
      <dsp:nvSpPr>
        <dsp:cNvPr id="0" name=""/>
        <dsp:cNvSpPr/>
      </dsp:nvSpPr>
      <dsp:spPr>
        <a:xfrm rot="10800000">
          <a:off x="0" y="1326545"/>
          <a:ext cx="5810250" cy="640202"/>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ts val="0"/>
            </a:spcAft>
            <a:buNone/>
          </a:pPr>
          <a:r>
            <a:rPr lang="de-DE" sz="1200" b="1" kern="1200">
              <a:latin typeface="+mj-lt"/>
              <a:cs typeface="Arial" pitchFamily="34" charset="0"/>
            </a:rPr>
            <a:t>Sammlung möglicher Beratungsaspekte mit Bezug zum Beoabachtungsbogen (s. Anhang) </a:t>
          </a:r>
        </a:p>
      </dsp:txBody>
      <dsp:txXfrm rot="10800000">
        <a:off x="0" y="1326545"/>
        <a:ext cx="5810250" cy="415984"/>
      </dsp:txXfrm>
    </dsp:sp>
    <dsp:sp modelId="{54B84C16-C846-4892-8080-1DBC871D05BE}">
      <dsp:nvSpPr>
        <dsp:cNvPr id="0" name=""/>
        <dsp:cNvSpPr/>
      </dsp:nvSpPr>
      <dsp:spPr>
        <a:xfrm rot="10800000">
          <a:off x="0" y="654874"/>
          <a:ext cx="5810250" cy="683988"/>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ts val="0"/>
            </a:spcAft>
            <a:buNone/>
          </a:pPr>
          <a:r>
            <a:rPr lang="de-DE" sz="1200" b="1" kern="1200">
              <a:latin typeface="+mj-lt"/>
              <a:cs typeface="Arial" pitchFamily="34" charset="0"/>
            </a:rPr>
            <a:t>Herausstellung der personenbezogenen Ressourcen der/des Studierenden und </a:t>
          </a:r>
        </a:p>
        <a:p>
          <a:pPr marL="0" lvl="0" indent="0" algn="ctr" defTabSz="533400">
            <a:lnSpc>
              <a:spcPct val="90000"/>
            </a:lnSpc>
            <a:spcBef>
              <a:spcPct val="0"/>
            </a:spcBef>
            <a:spcAft>
              <a:spcPts val="0"/>
            </a:spcAft>
            <a:buNone/>
          </a:pPr>
          <a:r>
            <a:rPr lang="de-DE" sz="1200" b="1" kern="1200">
              <a:latin typeface="+mj-lt"/>
              <a:cs typeface="Arial" pitchFamily="34" charset="0"/>
            </a:rPr>
            <a:t>gelungene Aspekte der Unterrichtsstunde</a:t>
          </a:r>
        </a:p>
      </dsp:txBody>
      <dsp:txXfrm rot="10800000">
        <a:off x="0" y="654874"/>
        <a:ext cx="5810250" cy="444435"/>
      </dsp:txXfrm>
    </dsp:sp>
    <dsp:sp modelId="{A575E7E7-14AD-4503-95AF-55600F0A6C04}">
      <dsp:nvSpPr>
        <dsp:cNvPr id="0" name=""/>
        <dsp:cNvSpPr/>
      </dsp:nvSpPr>
      <dsp:spPr>
        <a:xfrm rot="10800000">
          <a:off x="0" y="336"/>
          <a:ext cx="5810250" cy="655019"/>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ts val="0"/>
            </a:spcAft>
            <a:buNone/>
          </a:pPr>
          <a:r>
            <a:rPr lang="de-DE" sz="1200" b="1" kern="1200">
              <a:latin typeface="+mj-lt"/>
              <a:cs typeface="Arial" pitchFamily="34" charset="0"/>
            </a:rPr>
            <a:t>Stellungnahme der/des Studierenden zur </a:t>
          </a:r>
        </a:p>
        <a:p>
          <a:pPr marL="0" lvl="0" indent="0" algn="ctr" defTabSz="533400">
            <a:lnSpc>
              <a:spcPct val="90000"/>
            </a:lnSpc>
            <a:spcBef>
              <a:spcPct val="0"/>
            </a:spcBef>
            <a:spcAft>
              <a:spcPts val="0"/>
            </a:spcAft>
            <a:buNone/>
          </a:pPr>
          <a:r>
            <a:rPr lang="de-DE" sz="1200" b="1" kern="1200">
              <a:latin typeface="+mj-lt"/>
              <a:cs typeface="Arial" pitchFamily="34" charset="0"/>
            </a:rPr>
            <a:t>Unterrichtsstunde (ggf. mit Hilfe des Beobachtungsbogens) </a:t>
          </a:r>
        </a:p>
      </dsp:txBody>
      <dsp:txXfrm rot="10800000">
        <a:off x="0" y="336"/>
        <a:ext cx="5810250" cy="4256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C92DA1117CF084B8E55BA06AD5AA597" ma:contentTypeVersion="36" ma:contentTypeDescription="Ein neues Dokument erstellen." ma:contentTypeScope="" ma:versionID="dbd515edc9988a0552163435281f9702">
  <xsd:schema xmlns:xsd="http://www.w3.org/2001/XMLSchema" xmlns:xs="http://www.w3.org/2001/XMLSchema" xmlns:p="http://schemas.microsoft.com/office/2006/metadata/properties" xmlns:ns2="c00f2334-00de-4250-8ef5-315017d882f0" xmlns:ns3="928530f0-7266-4d36-9f5c-58ff89efe66d" targetNamespace="http://schemas.microsoft.com/office/2006/metadata/properties" ma:root="true" ma:fieldsID="691741cea99f8cf25baeaaa32936df74" ns2:_="" ns3:_="">
    <xsd:import namespace="c00f2334-00de-4250-8ef5-315017d882f0"/>
    <xsd:import namespace="928530f0-7266-4d36-9f5c-58ff89efe6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f2334-00de-4250-8ef5-315017d88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91aa79d8-f96b-4676-9c8a-ae7734b777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8530f0-7266-4d36-9f5c-58ff89efe66d" elementFormDefault="qualified">
    <xsd:import namespace="http://schemas.microsoft.com/office/2006/documentManagement/types"/>
    <xsd:import namespace="http://schemas.microsoft.com/office/infopath/2007/PartnerControls"/>
    <xsd:element name="SharedWithUsers" ma:index="3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Freigegeben für - Details" ma:internalName="SharedWithDetails" ma:readOnly="true">
      <xsd:simpleType>
        <xsd:restriction base="dms:Note">
          <xsd:maxLength value="255"/>
        </xsd:restriction>
      </xsd:simpleType>
    </xsd:element>
    <xsd:element name="TaxCatchAll" ma:index="43" nillable="true" ma:displayName="Taxonomy Catch All Column" ma:hidden="true" ma:list="{17d899d7-1a7f-4415-8107-dc0c522db590}" ma:internalName="TaxCatchAll" ma:showField="CatchAllData" ma:web="928530f0-7266-4d36-9f5c-58ff89efe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vited_Teachers xmlns="c00f2334-00de-4250-8ef5-315017d882f0" xsi:nil="true"/>
    <IsNotebookLocked xmlns="c00f2334-00de-4250-8ef5-315017d882f0" xsi:nil="true"/>
    <lcf76f155ced4ddcb4097134ff3c332f xmlns="c00f2334-00de-4250-8ef5-315017d882f0">
      <Terms xmlns="http://schemas.microsoft.com/office/infopath/2007/PartnerControls"/>
    </lcf76f155ced4ddcb4097134ff3c332f>
    <Math_Settings xmlns="c00f2334-00de-4250-8ef5-315017d882f0" xsi:nil="true"/>
    <FolderType xmlns="c00f2334-00de-4250-8ef5-315017d882f0" xsi:nil="true"/>
    <Owner xmlns="c00f2334-00de-4250-8ef5-315017d882f0">
      <UserInfo>
        <DisplayName/>
        <AccountId xsi:nil="true"/>
        <AccountType/>
      </UserInfo>
    </Owner>
    <Students xmlns="c00f2334-00de-4250-8ef5-315017d882f0">
      <UserInfo>
        <DisplayName/>
        <AccountId xsi:nil="true"/>
        <AccountType/>
      </UserInfo>
    </Students>
    <Is_Collaboration_Space_Locked xmlns="c00f2334-00de-4250-8ef5-315017d882f0" xsi:nil="true"/>
    <AppVersion xmlns="c00f2334-00de-4250-8ef5-315017d882f0" xsi:nil="true"/>
    <NotebookType xmlns="c00f2334-00de-4250-8ef5-315017d882f0" xsi:nil="true"/>
    <Teachers xmlns="c00f2334-00de-4250-8ef5-315017d882f0">
      <UserInfo>
        <DisplayName/>
        <AccountId xsi:nil="true"/>
        <AccountType/>
      </UserInfo>
    </Teachers>
    <Student_Groups xmlns="c00f2334-00de-4250-8ef5-315017d882f0">
      <UserInfo>
        <DisplayName/>
        <AccountId xsi:nil="true"/>
        <AccountType/>
      </UserInfo>
    </Student_Groups>
    <LMS_Mappings xmlns="c00f2334-00de-4250-8ef5-315017d882f0" xsi:nil="true"/>
    <Invited_Students xmlns="c00f2334-00de-4250-8ef5-315017d882f0" xsi:nil="true"/>
    <CultureName xmlns="c00f2334-00de-4250-8ef5-315017d882f0" xsi:nil="true"/>
    <Distribution_Groups xmlns="c00f2334-00de-4250-8ef5-315017d882f0" xsi:nil="true"/>
    <Self_Registration_Enabled xmlns="c00f2334-00de-4250-8ef5-315017d882f0" xsi:nil="true"/>
    <Has_Teacher_Only_SectionGroup xmlns="c00f2334-00de-4250-8ef5-315017d882f0" xsi:nil="true"/>
    <DefaultSectionNames xmlns="c00f2334-00de-4250-8ef5-315017d882f0" xsi:nil="true"/>
    <TaxCatchAll xmlns="928530f0-7266-4d36-9f5c-58ff89efe66d" xsi:nil="true"/>
    <TeamsChannelId xmlns="c00f2334-00de-4250-8ef5-315017d882f0" xsi:nil="true"/>
    <Templates xmlns="c00f2334-00de-4250-8ef5-315017d882f0" xsi:nil="true"/>
  </documentManagement>
</p:properties>
</file>

<file path=customXml/itemProps1.xml><?xml version="1.0" encoding="utf-8"?>
<ds:datastoreItem xmlns:ds="http://schemas.openxmlformats.org/officeDocument/2006/customXml" ds:itemID="{59E7616D-F696-4BEC-BE11-46475F0DE2D0}">
  <ds:schemaRefs>
    <ds:schemaRef ds:uri="http://schemas.openxmlformats.org/officeDocument/2006/bibliography"/>
  </ds:schemaRefs>
</ds:datastoreItem>
</file>

<file path=customXml/itemProps2.xml><?xml version="1.0" encoding="utf-8"?>
<ds:datastoreItem xmlns:ds="http://schemas.openxmlformats.org/officeDocument/2006/customXml" ds:itemID="{E91DC068-ACF6-42F0-BDFF-EFA75BE00CAC}"/>
</file>

<file path=customXml/itemProps3.xml><?xml version="1.0" encoding="utf-8"?>
<ds:datastoreItem xmlns:ds="http://schemas.openxmlformats.org/officeDocument/2006/customXml" ds:itemID="{D851BDCD-197C-40DB-82D5-60A6CB2F1826}"/>
</file>

<file path=customXml/itemProps4.xml><?xml version="1.0" encoding="utf-8"?>
<ds:datastoreItem xmlns:ds="http://schemas.openxmlformats.org/officeDocument/2006/customXml" ds:itemID="{72632C7F-15EB-44F2-BBE0-2C25CFC9AD15}"/>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Doris Kneisle</cp:lastModifiedBy>
  <cp:revision>6</cp:revision>
  <cp:lastPrinted>2017-07-07T10:45:00Z</cp:lastPrinted>
  <dcterms:created xsi:type="dcterms:W3CDTF">2017-07-07T10:49:00Z</dcterms:created>
  <dcterms:modified xsi:type="dcterms:W3CDTF">2018-09-17T09:47:00Z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0x0101002C92DA1117CF084B8E55BA06AD5AA597</vt:lpwstr>
  </property>
</Properties>
</file>